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1F06" w:rsidRPr="00ED37FB" w:rsidRDefault="003F1F06" w:rsidP="003F1F06">
      <w:pPr>
        <w:pStyle w:val="Heading2"/>
        <w:spacing w:before="0" w:beforeAutospacing="0" w:after="0" w:afterAutospacing="0"/>
        <w:ind w:left="284"/>
        <w:jc w:val="center"/>
        <w:rPr>
          <w:color w:val="FF0000"/>
          <w:sz w:val="24"/>
          <w:szCs w:val="24"/>
        </w:rPr>
      </w:pPr>
      <w:r w:rsidRPr="00ED37FB">
        <w:rPr>
          <w:color w:val="FF0000"/>
          <w:sz w:val="24"/>
          <w:szCs w:val="24"/>
        </w:rPr>
        <w:t>COUNTRY PROFILE REPORT OF ITJ DIVISION, DGCI&amp;S DATED 24-01-2024</w:t>
      </w:r>
    </w:p>
    <w:p w:rsidR="003F1F06" w:rsidRPr="00ED37FB" w:rsidRDefault="003F1F06" w:rsidP="003F1F06">
      <w:pPr>
        <w:pStyle w:val="Heading2"/>
        <w:spacing w:before="0" w:beforeAutospacing="0" w:after="0" w:afterAutospacing="0"/>
        <w:ind w:left="284"/>
        <w:jc w:val="center"/>
        <w:rPr>
          <w:color w:val="00B0F0"/>
          <w:sz w:val="24"/>
          <w:szCs w:val="24"/>
        </w:rPr>
      </w:pPr>
      <w:r w:rsidRPr="00ED37FB">
        <w:rPr>
          <w:color w:val="FF0000"/>
          <w:sz w:val="24"/>
          <w:szCs w:val="24"/>
        </w:rPr>
        <w:t>INDIA-NETHERLAND BILATERAL TRADE RELATIONS</w:t>
      </w:r>
    </w:p>
    <w:p w:rsidR="003F1F06" w:rsidRPr="00ED37FB" w:rsidRDefault="003F1F06" w:rsidP="003F1F06">
      <w:pPr>
        <w:spacing w:before="100" w:beforeAutospacing="1" w:after="100" w:afterAutospacing="1" w:line="240" w:lineRule="auto"/>
        <w:jc w:val="both"/>
        <w:rPr>
          <w:rFonts w:ascii="Times New Roman" w:hAnsi="Times New Roman" w:cs="Times New Roman"/>
          <w:b/>
          <w:color w:val="00B050"/>
          <w:sz w:val="24"/>
          <w:szCs w:val="24"/>
        </w:rPr>
      </w:pPr>
      <w:r w:rsidRPr="00ED37FB">
        <w:rPr>
          <w:rFonts w:ascii="Times New Roman" w:hAnsi="Times New Roman" w:cs="Times New Roman"/>
          <w:b/>
          <w:color w:val="00B050"/>
          <w:sz w:val="24"/>
          <w:szCs w:val="24"/>
        </w:rPr>
        <w:t>INTRODUCTION &amp; BRIEF ECONOMIC OVERVIEW</w:t>
      </w:r>
    </w:p>
    <w:p w:rsidR="003F1F06" w:rsidRPr="00ED37FB" w:rsidRDefault="003F1F06" w:rsidP="003F1F06">
      <w:pPr>
        <w:spacing w:after="0" w:line="240" w:lineRule="auto"/>
        <w:jc w:val="both"/>
        <w:rPr>
          <w:rFonts w:ascii="Times New Roman" w:hAnsi="Times New Roman" w:cs="Times New Roman"/>
          <w:color w:val="E36C0A" w:themeColor="accent6" w:themeShade="BF"/>
          <w:sz w:val="24"/>
          <w:szCs w:val="24"/>
        </w:rPr>
      </w:pPr>
      <w:r w:rsidRPr="00ED37FB">
        <w:rPr>
          <w:rFonts w:ascii="Times New Roman" w:hAnsi="Times New Roman" w:cs="Times New Roman"/>
          <w:sz w:val="24"/>
          <w:szCs w:val="24"/>
        </w:rPr>
        <w:t xml:space="preserve">        </w:t>
      </w:r>
      <w:r w:rsidRPr="00ED37FB">
        <w:rPr>
          <w:rFonts w:ascii="Times New Roman" w:eastAsia="Calibri" w:hAnsi="Times New Roman" w:cs="Times New Roman"/>
          <w:sz w:val="24"/>
          <w:szCs w:val="24"/>
        </w:rPr>
        <w:t>The Kingdom of Netherlands is situated in Western Europe.  The country is bordered to the east by Germany and to the south by Belgium.  Its northern and western shores face the North Sea.</w:t>
      </w:r>
      <w:r w:rsidRPr="00ED37FB">
        <w:rPr>
          <w:rFonts w:ascii="Times New Roman" w:hAnsi="Times New Roman" w:cs="Times New Roman"/>
          <w:color w:val="E36C0A" w:themeColor="accent6" w:themeShade="BF"/>
          <w:sz w:val="24"/>
          <w:szCs w:val="24"/>
        </w:rPr>
        <w:t xml:space="preserve"> </w:t>
      </w:r>
      <w:r w:rsidRPr="00ED37FB">
        <w:rPr>
          <w:rFonts w:ascii="Times New Roman" w:hAnsi="Times New Roman" w:cs="Times New Roman"/>
          <w:color w:val="000000" w:themeColor="text1"/>
          <w:sz w:val="24"/>
          <w:szCs w:val="24"/>
        </w:rPr>
        <w:t>The</w:t>
      </w:r>
      <w:r w:rsidRPr="00ED37FB">
        <w:rPr>
          <w:rFonts w:ascii="Times New Roman" w:hAnsi="Times New Roman" w:cs="Times New Roman"/>
          <w:color w:val="E36C0A" w:themeColor="accent6" w:themeShade="BF"/>
          <w:sz w:val="24"/>
          <w:szCs w:val="24"/>
        </w:rPr>
        <w:t xml:space="preserve"> </w:t>
      </w:r>
      <w:r w:rsidRPr="00ED37FB">
        <w:rPr>
          <w:rFonts w:ascii="Times New Roman" w:hAnsi="Times New Roman" w:cs="Times New Roman"/>
          <w:sz w:val="24"/>
          <w:szCs w:val="24"/>
        </w:rPr>
        <w:t>Netherland is a partner of the European Union, G20, WTO, OECD (The Organization for Economic Cooperation and Development).</w:t>
      </w:r>
    </w:p>
    <w:p w:rsidR="003F1F06" w:rsidRPr="00ED37FB" w:rsidRDefault="003F1F06" w:rsidP="003F1F06">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D37FB">
        <w:rPr>
          <w:rFonts w:ascii="Times New Roman" w:hAnsi="Times New Roman" w:cs="Times New Roman"/>
          <w:sz w:val="24"/>
          <w:szCs w:val="24"/>
        </w:rPr>
        <w:t>2.    The Netherland has a high level of economic freedom and the 6</w:t>
      </w:r>
      <w:r w:rsidRPr="00ED37FB">
        <w:rPr>
          <w:rFonts w:ascii="Times New Roman" w:hAnsi="Times New Roman" w:cs="Times New Roman"/>
          <w:sz w:val="24"/>
          <w:szCs w:val="24"/>
          <w:vertAlign w:val="superscript"/>
        </w:rPr>
        <w:t>th</w:t>
      </w:r>
      <w:r w:rsidRPr="00ED37FB">
        <w:rPr>
          <w:rFonts w:ascii="Times New Roman" w:hAnsi="Times New Roman" w:cs="Times New Roman"/>
          <w:sz w:val="24"/>
          <w:szCs w:val="24"/>
        </w:rPr>
        <w:t xml:space="preserve"> largest economic power in Europe. </w:t>
      </w:r>
      <w:r w:rsidRPr="00ED37FB">
        <w:rPr>
          <w:rFonts w:ascii="Times New Roman" w:hAnsi="Times New Roman" w:cs="Times New Roman"/>
          <w:color w:val="E36C0A" w:themeColor="accent6" w:themeShade="BF"/>
          <w:sz w:val="24"/>
          <w:szCs w:val="24"/>
        </w:rPr>
        <w:t xml:space="preserve"> </w:t>
      </w:r>
      <w:r w:rsidRPr="00ED37FB">
        <w:rPr>
          <w:rFonts w:ascii="Times New Roman" w:hAnsi="Times New Roman" w:cs="Times New Roman"/>
          <w:sz w:val="24"/>
          <w:szCs w:val="24"/>
        </w:rPr>
        <w:t xml:space="preserve">As per available report of </w:t>
      </w:r>
      <w:r w:rsidRPr="00ED37FB">
        <w:rPr>
          <w:rFonts w:ascii="Times New Roman" w:eastAsia="Times New Roman" w:hAnsi="Times New Roman" w:cs="Times New Roman"/>
          <w:bCs/>
          <w:sz w:val="24"/>
          <w:szCs w:val="24"/>
          <w:lang w:eastAsia="en-IN"/>
        </w:rPr>
        <w:t>IMF Article IV Consultation with</w:t>
      </w:r>
      <w:r w:rsidRPr="00ED37FB">
        <w:rPr>
          <w:rFonts w:ascii="Times New Roman" w:eastAsia="Times New Roman" w:hAnsi="Times New Roman" w:cs="Times New Roman"/>
          <w:bCs/>
          <w:color w:val="E36C0A" w:themeColor="accent6" w:themeShade="BF"/>
          <w:sz w:val="24"/>
          <w:szCs w:val="24"/>
          <w:lang w:eastAsia="en-IN"/>
        </w:rPr>
        <w:t xml:space="preserve"> </w:t>
      </w:r>
      <w:r w:rsidRPr="00ED37FB">
        <w:rPr>
          <w:rFonts w:ascii="Times New Roman" w:eastAsia="Times New Roman" w:hAnsi="Times New Roman" w:cs="Times New Roman"/>
          <w:bCs/>
          <w:sz w:val="24"/>
          <w:szCs w:val="24"/>
          <w:lang w:eastAsia="en-IN"/>
        </w:rPr>
        <w:t>the Netherlands</w:t>
      </w:r>
      <w:r w:rsidRPr="00ED37FB">
        <w:rPr>
          <w:rFonts w:ascii="Times New Roman" w:eastAsia="Times New Roman" w:hAnsi="Times New Roman" w:cs="Times New Roman"/>
          <w:b/>
          <w:bCs/>
          <w:sz w:val="24"/>
          <w:szCs w:val="24"/>
          <w:lang w:eastAsia="en-IN"/>
        </w:rPr>
        <w:t xml:space="preserve"> </w:t>
      </w:r>
      <w:r w:rsidRPr="00ED37FB">
        <w:rPr>
          <w:rFonts w:ascii="Times New Roman" w:eastAsia="Times New Roman" w:hAnsi="Times New Roman" w:cs="Times New Roman"/>
          <w:sz w:val="24"/>
          <w:szCs w:val="24"/>
          <w:lang w:eastAsia="en-IN"/>
        </w:rPr>
        <w:t>March 9, 2023, it has been reflected that,</w:t>
      </w:r>
      <w:r w:rsidRPr="00ED37FB">
        <w:rPr>
          <w:rFonts w:ascii="Times New Roman" w:eastAsia="Times New Roman" w:hAnsi="Times New Roman" w:cs="Times New Roman"/>
          <w:color w:val="E36C0A" w:themeColor="accent6" w:themeShade="BF"/>
          <w:sz w:val="24"/>
          <w:szCs w:val="24"/>
          <w:lang w:eastAsia="en-IN"/>
        </w:rPr>
        <w:t xml:space="preserve"> </w:t>
      </w:r>
      <w:r w:rsidRPr="00ED37FB">
        <w:rPr>
          <w:rFonts w:ascii="Times New Roman" w:eastAsia="Times New Roman" w:hAnsi="Times New Roman" w:cs="Times New Roman"/>
          <w:color w:val="000000" w:themeColor="text1"/>
          <w:sz w:val="24"/>
          <w:szCs w:val="24"/>
          <w:lang w:eastAsia="en-IN"/>
        </w:rPr>
        <w:t>“</w:t>
      </w:r>
      <w:r w:rsidRPr="00ED37FB">
        <w:rPr>
          <w:rFonts w:ascii="Times New Roman" w:eastAsia="Times New Roman" w:hAnsi="Times New Roman" w:cs="Times New Roman"/>
          <w:sz w:val="24"/>
          <w:szCs w:val="24"/>
          <w:lang w:eastAsia="en-IN"/>
        </w:rPr>
        <w:t xml:space="preserve">The Netherlands was more resilient than its peers during and after the pandemic. Reflecting the prevalence of telecommuting and a strong fiscal response, the Dutch economy experienced a less severe recession followed by a more robust recovery than in the euro area. Real GDP grew by 4.9 percent in 2021, surpassing its pre-pandemic level, as private consumption staged a vibrant recovery boosted by the release of accumulated savings and a strong </w:t>
      </w:r>
      <w:proofErr w:type="spellStart"/>
      <w:r w:rsidRPr="00ED37FB">
        <w:rPr>
          <w:rFonts w:ascii="Times New Roman" w:eastAsia="Times New Roman" w:hAnsi="Times New Roman" w:cs="Times New Roman"/>
          <w:sz w:val="24"/>
          <w:szCs w:val="24"/>
          <w:lang w:eastAsia="en-IN"/>
        </w:rPr>
        <w:t>labor</w:t>
      </w:r>
      <w:proofErr w:type="spellEnd"/>
      <w:r w:rsidRPr="00ED37FB">
        <w:rPr>
          <w:rFonts w:ascii="Times New Roman" w:eastAsia="Times New Roman" w:hAnsi="Times New Roman" w:cs="Times New Roman"/>
          <w:sz w:val="24"/>
          <w:szCs w:val="24"/>
          <w:lang w:eastAsia="en-IN"/>
        </w:rPr>
        <w:t xml:space="preserve"> market. By end-2022, inflation had eased after a record high in September, but remained elevated, largely driven by energy prices. The </w:t>
      </w:r>
      <w:proofErr w:type="spellStart"/>
      <w:r w:rsidRPr="00ED37FB">
        <w:rPr>
          <w:rFonts w:ascii="Times New Roman" w:eastAsia="Times New Roman" w:hAnsi="Times New Roman" w:cs="Times New Roman"/>
          <w:sz w:val="24"/>
          <w:szCs w:val="24"/>
          <w:lang w:eastAsia="en-IN"/>
        </w:rPr>
        <w:t>labor</w:t>
      </w:r>
      <w:proofErr w:type="spellEnd"/>
      <w:r w:rsidRPr="00ED37FB">
        <w:rPr>
          <w:rFonts w:ascii="Times New Roman" w:eastAsia="Times New Roman" w:hAnsi="Times New Roman" w:cs="Times New Roman"/>
          <w:sz w:val="24"/>
          <w:szCs w:val="24"/>
          <w:lang w:eastAsia="en-IN"/>
        </w:rPr>
        <w:t xml:space="preserve"> market is tight with a low unemployment rate and high vacancies, although wages have not picked up strongly so far. Overall, the economy appears to be overheating”. </w:t>
      </w:r>
      <w:r w:rsidRPr="00ED37FB">
        <w:rPr>
          <w:rFonts w:ascii="Times New Roman" w:eastAsia="Times New Roman" w:hAnsi="Times New Roman" w:cs="Times New Roman"/>
          <w:color w:val="E36C0A" w:themeColor="accent6" w:themeShade="BF"/>
          <w:sz w:val="24"/>
          <w:szCs w:val="24"/>
          <w:lang w:eastAsia="en-IN"/>
        </w:rPr>
        <w:t xml:space="preserve"> </w:t>
      </w:r>
      <w:r w:rsidRPr="00ED37FB">
        <w:rPr>
          <w:rFonts w:ascii="Times New Roman" w:eastAsia="Times New Roman" w:hAnsi="Times New Roman" w:cs="Times New Roman"/>
          <w:sz w:val="24"/>
          <w:szCs w:val="24"/>
          <w:lang w:eastAsia="en-IN"/>
        </w:rPr>
        <w:t xml:space="preserve">Executive Directors agreed with the thrust of the staff appraisal. They took positive note that the Dutch economy showed impressive resilience during and after the pandemic, supported by a strong policy response. Nevertheless, the energy shock caused by Russia’s invasion of Ukraine, elevated inflation, and tighter financial conditions, as well as lower external demand and a cooling housing market, pose challenges. </w:t>
      </w:r>
    </w:p>
    <w:p w:rsidR="003F1F06" w:rsidRPr="00ED37FB" w:rsidRDefault="003F1F06" w:rsidP="003F1F06">
      <w:pPr>
        <w:spacing w:before="100" w:beforeAutospacing="1" w:after="100" w:afterAutospacing="1" w:line="240" w:lineRule="auto"/>
        <w:rPr>
          <w:rFonts w:ascii="Times New Roman" w:hAnsi="Times New Roman" w:cs="Times New Roman"/>
          <w:sz w:val="24"/>
          <w:szCs w:val="24"/>
        </w:rPr>
      </w:pPr>
      <w:r w:rsidRPr="00ED37FB">
        <w:rPr>
          <w:rFonts w:ascii="Times New Roman" w:eastAsia="Times New Roman" w:hAnsi="Times New Roman" w:cs="Times New Roman"/>
          <w:color w:val="E36C0A" w:themeColor="accent6" w:themeShade="BF"/>
          <w:sz w:val="24"/>
          <w:szCs w:val="24"/>
          <w:lang w:eastAsia="en-IN"/>
        </w:rPr>
        <w:t>.</w:t>
      </w:r>
      <w:r w:rsidRPr="00ED37FB">
        <w:rPr>
          <w:rFonts w:ascii="Times New Roman" w:hAnsi="Times New Roman" w:cs="Times New Roman"/>
          <w:sz w:val="24"/>
          <w:szCs w:val="24"/>
        </w:rPr>
        <w:t xml:space="preserve">A snapshot of </w:t>
      </w:r>
      <w:r w:rsidRPr="00ED37FB">
        <w:rPr>
          <w:rFonts w:ascii="Times New Roman" w:eastAsia="Calibri" w:hAnsi="Times New Roman" w:cs="Times New Roman"/>
          <w:sz w:val="24"/>
          <w:szCs w:val="24"/>
        </w:rPr>
        <w:t>Netherland</w:t>
      </w:r>
      <w:r w:rsidRPr="00ED37FB">
        <w:rPr>
          <w:rFonts w:ascii="Times New Roman" w:hAnsi="Times New Roman" w:cs="Times New Roman"/>
          <w:sz w:val="24"/>
          <w:szCs w:val="24"/>
        </w:rPr>
        <w:t xml:space="preserve">’s select economic indicators is presented at </w:t>
      </w:r>
      <w:r w:rsidRPr="00ED37FB">
        <w:rPr>
          <w:rFonts w:ascii="Times New Roman" w:hAnsi="Times New Roman" w:cs="Times New Roman"/>
          <w:b/>
          <w:sz w:val="24"/>
          <w:szCs w:val="24"/>
          <w:u w:val="single"/>
        </w:rPr>
        <w:t>Annexure –I</w:t>
      </w:r>
    </w:p>
    <w:p w:rsidR="003F1F06" w:rsidRPr="00ED37FB" w:rsidRDefault="003F1F06" w:rsidP="003F1F06">
      <w:pPr>
        <w:spacing w:before="100" w:beforeAutospacing="1" w:after="100" w:afterAutospacing="1" w:line="240" w:lineRule="auto"/>
        <w:jc w:val="both"/>
        <w:rPr>
          <w:rFonts w:ascii="Times New Roman" w:hAnsi="Times New Roman" w:cs="Times New Roman"/>
          <w:b/>
          <w:sz w:val="24"/>
          <w:szCs w:val="24"/>
        </w:rPr>
      </w:pPr>
      <w:r w:rsidRPr="00ED37FB">
        <w:rPr>
          <w:rFonts w:ascii="Times New Roman" w:hAnsi="Times New Roman" w:cs="Times New Roman"/>
          <w:b/>
          <w:color w:val="00B050"/>
          <w:sz w:val="24"/>
          <w:szCs w:val="24"/>
        </w:rPr>
        <w:t>FOREIGN TRADE</w:t>
      </w:r>
    </w:p>
    <w:p w:rsidR="003F1F06" w:rsidRPr="00ED37FB" w:rsidRDefault="003F1F06" w:rsidP="003F1F06">
      <w:pPr>
        <w:spacing w:line="240" w:lineRule="auto"/>
        <w:jc w:val="both"/>
        <w:rPr>
          <w:rFonts w:ascii="Times New Roman" w:eastAsia="Times New Roman" w:hAnsi="Times New Roman" w:cs="Times New Roman"/>
          <w:sz w:val="24"/>
          <w:szCs w:val="24"/>
          <w:lang w:eastAsia="en-IN"/>
        </w:rPr>
      </w:pPr>
      <w:r w:rsidRPr="00ED37FB">
        <w:rPr>
          <w:rFonts w:ascii="Times New Roman" w:hAnsi="Times New Roman" w:cs="Times New Roman"/>
          <w:sz w:val="24"/>
          <w:szCs w:val="24"/>
        </w:rPr>
        <w:t xml:space="preserve">3.    As per recent available inputs on WITS (World Integrated Trade Solution), the five major merchandise export partners of </w:t>
      </w:r>
      <w:r w:rsidRPr="00ED37FB">
        <w:rPr>
          <w:rFonts w:ascii="Times New Roman" w:eastAsia="Calibri" w:hAnsi="Times New Roman" w:cs="Times New Roman"/>
          <w:sz w:val="24"/>
          <w:szCs w:val="24"/>
        </w:rPr>
        <w:t>Netherland</w:t>
      </w:r>
      <w:r w:rsidRPr="00ED37FB">
        <w:rPr>
          <w:rFonts w:ascii="Times New Roman" w:hAnsi="Times New Roman" w:cs="Times New Roman"/>
          <w:sz w:val="24"/>
          <w:szCs w:val="24"/>
        </w:rPr>
        <w:t xml:space="preserve"> are</w:t>
      </w:r>
      <w:r w:rsidRPr="00ED37FB">
        <w:rPr>
          <w:rFonts w:ascii="Times New Roman" w:eastAsia="Times New Roman" w:hAnsi="Times New Roman" w:cs="Times New Roman"/>
          <w:sz w:val="24"/>
          <w:szCs w:val="24"/>
          <w:lang w:eastAsia="en-IN"/>
        </w:rPr>
        <w:t xml:space="preserve"> Germany, Belgium, France, United Kingdom and United States. </w:t>
      </w:r>
      <w:r w:rsidRPr="00ED37FB">
        <w:rPr>
          <w:rFonts w:ascii="Times New Roman" w:hAnsi="Times New Roman" w:cs="Times New Roman"/>
          <w:sz w:val="24"/>
          <w:szCs w:val="24"/>
        </w:rPr>
        <w:t xml:space="preserve">On the other hand five major import partners of </w:t>
      </w:r>
      <w:r w:rsidRPr="00ED37FB">
        <w:rPr>
          <w:rFonts w:ascii="Times New Roman" w:eastAsia="Calibri" w:hAnsi="Times New Roman" w:cs="Times New Roman"/>
          <w:sz w:val="24"/>
          <w:szCs w:val="24"/>
        </w:rPr>
        <w:t>Netherland</w:t>
      </w:r>
      <w:r w:rsidRPr="00ED37FB">
        <w:rPr>
          <w:rFonts w:ascii="Times New Roman" w:hAnsi="Times New Roman" w:cs="Times New Roman"/>
          <w:sz w:val="24"/>
          <w:szCs w:val="24"/>
        </w:rPr>
        <w:t xml:space="preserve"> are </w:t>
      </w:r>
      <w:r w:rsidRPr="00ED37FB">
        <w:rPr>
          <w:rFonts w:ascii="Times New Roman" w:eastAsia="Times New Roman" w:hAnsi="Times New Roman" w:cs="Times New Roman"/>
          <w:sz w:val="24"/>
          <w:szCs w:val="24"/>
          <w:lang w:eastAsia="en-IN"/>
        </w:rPr>
        <w:t>Germany, China, Belgium United States</w:t>
      </w:r>
      <w:r w:rsidRPr="00ED37FB">
        <w:rPr>
          <w:rFonts w:ascii="Times New Roman" w:hAnsi="Times New Roman" w:cs="Times New Roman"/>
          <w:sz w:val="24"/>
          <w:szCs w:val="24"/>
        </w:rPr>
        <w:t xml:space="preserve">, and </w:t>
      </w:r>
      <w:r w:rsidRPr="00ED37FB">
        <w:rPr>
          <w:rFonts w:ascii="Times New Roman" w:eastAsia="Times New Roman" w:hAnsi="Times New Roman" w:cs="Times New Roman"/>
          <w:sz w:val="24"/>
          <w:szCs w:val="24"/>
          <w:lang w:eastAsia="en-IN"/>
        </w:rPr>
        <w:t>United Kingdom.</w:t>
      </w:r>
      <w:r w:rsidRPr="00ED37FB">
        <w:rPr>
          <w:rFonts w:ascii="Times New Roman" w:hAnsi="Times New Roman" w:cs="Times New Roman"/>
          <w:sz w:val="24"/>
          <w:szCs w:val="24"/>
        </w:rPr>
        <w:t xml:space="preserve"> Major five exported goods of </w:t>
      </w:r>
      <w:r w:rsidRPr="00ED37FB">
        <w:rPr>
          <w:rFonts w:ascii="Times New Roman" w:eastAsia="Calibri" w:hAnsi="Times New Roman" w:cs="Times New Roman"/>
          <w:sz w:val="24"/>
          <w:szCs w:val="24"/>
        </w:rPr>
        <w:t>Netherland</w:t>
      </w:r>
      <w:r w:rsidRPr="00ED37FB">
        <w:rPr>
          <w:rFonts w:ascii="Times New Roman" w:hAnsi="Times New Roman" w:cs="Times New Roman"/>
          <w:sz w:val="24"/>
          <w:szCs w:val="24"/>
        </w:rPr>
        <w:t xml:space="preserve"> are (</w:t>
      </w:r>
      <w:proofErr w:type="spellStart"/>
      <w:r w:rsidRPr="00ED37FB">
        <w:rPr>
          <w:rFonts w:ascii="Times New Roman" w:hAnsi="Times New Roman" w:cs="Times New Roman"/>
          <w:sz w:val="24"/>
          <w:szCs w:val="24"/>
        </w:rPr>
        <w:t>i</w:t>
      </w:r>
      <w:proofErr w:type="spellEnd"/>
      <w:r w:rsidRPr="00ED37FB">
        <w:rPr>
          <w:rFonts w:ascii="Times New Roman" w:hAnsi="Times New Roman" w:cs="Times New Roman"/>
          <w:sz w:val="24"/>
          <w:szCs w:val="24"/>
        </w:rPr>
        <w:t xml:space="preserve">) Petroleum oils (ii) Transmission apparatus (iii) </w:t>
      </w:r>
      <w:r w:rsidRPr="00ED37FB">
        <w:rPr>
          <w:rFonts w:ascii="Times New Roman" w:eastAsia="Times New Roman" w:hAnsi="Times New Roman" w:cs="Times New Roman"/>
          <w:sz w:val="24"/>
          <w:szCs w:val="24"/>
          <w:lang w:eastAsia="en-IN"/>
        </w:rPr>
        <w:t xml:space="preserve">Apparatus and equipments </w:t>
      </w:r>
      <w:proofErr w:type="gramStart"/>
      <w:r w:rsidRPr="00ED37FB">
        <w:rPr>
          <w:rFonts w:ascii="Times New Roman" w:hAnsi="Times New Roman" w:cs="Times New Roman"/>
          <w:sz w:val="24"/>
          <w:szCs w:val="24"/>
        </w:rPr>
        <w:t>(iv) M</w:t>
      </w:r>
      <w:r w:rsidRPr="00ED37FB">
        <w:rPr>
          <w:rFonts w:ascii="Times New Roman" w:eastAsia="Times New Roman" w:hAnsi="Times New Roman" w:cs="Times New Roman"/>
          <w:sz w:val="24"/>
          <w:szCs w:val="24"/>
          <w:lang w:eastAsia="en-IN"/>
        </w:rPr>
        <w:t>edicaments</w:t>
      </w:r>
      <w:proofErr w:type="gramEnd"/>
      <w:r w:rsidRPr="00ED37FB">
        <w:rPr>
          <w:rFonts w:ascii="Times New Roman" w:eastAsia="Times New Roman" w:hAnsi="Times New Roman" w:cs="Times New Roman"/>
          <w:sz w:val="24"/>
          <w:szCs w:val="24"/>
          <w:lang w:eastAsia="en-IN"/>
        </w:rPr>
        <w:t xml:space="preserve"> </w:t>
      </w:r>
      <w:r w:rsidRPr="00ED37FB">
        <w:rPr>
          <w:rFonts w:ascii="Times New Roman" w:hAnsi="Times New Roman" w:cs="Times New Roman"/>
          <w:sz w:val="24"/>
          <w:szCs w:val="24"/>
        </w:rPr>
        <w:t xml:space="preserve">of mixed and unmixed products (v) </w:t>
      </w:r>
      <w:r w:rsidRPr="00ED37FB">
        <w:rPr>
          <w:rFonts w:ascii="Times New Roman" w:eastAsia="Times New Roman" w:hAnsi="Times New Roman" w:cs="Times New Roman"/>
          <w:sz w:val="24"/>
          <w:szCs w:val="24"/>
          <w:lang w:eastAsia="en-IN"/>
        </w:rPr>
        <w:t xml:space="preserve">Monolithic integrated Circuit. </w:t>
      </w:r>
      <w:r w:rsidRPr="00ED37FB">
        <w:rPr>
          <w:rFonts w:ascii="Times New Roman" w:hAnsi="Times New Roman" w:cs="Times New Roman"/>
          <w:sz w:val="24"/>
          <w:szCs w:val="24"/>
        </w:rPr>
        <w:t>On the other hand major five imported goods are (</w:t>
      </w:r>
      <w:proofErr w:type="spellStart"/>
      <w:r w:rsidRPr="00ED37FB">
        <w:rPr>
          <w:rFonts w:ascii="Times New Roman" w:hAnsi="Times New Roman" w:cs="Times New Roman"/>
          <w:sz w:val="24"/>
          <w:szCs w:val="24"/>
        </w:rPr>
        <w:t>i</w:t>
      </w:r>
      <w:proofErr w:type="spellEnd"/>
      <w:r w:rsidRPr="00ED37FB">
        <w:rPr>
          <w:rFonts w:ascii="Times New Roman" w:hAnsi="Times New Roman" w:cs="Times New Roman"/>
          <w:sz w:val="24"/>
          <w:szCs w:val="24"/>
        </w:rPr>
        <w:t xml:space="preserve">) </w:t>
      </w:r>
      <w:r w:rsidRPr="00ED37FB">
        <w:rPr>
          <w:rFonts w:ascii="Times New Roman" w:eastAsia="Times New Roman" w:hAnsi="Times New Roman" w:cs="Times New Roman"/>
          <w:sz w:val="24"/>
          <w:szCs w:val="24"/>
          <w:lang w:eastAsia="en-IN"/>
        </w:rPr>
        <w:t>Petroleum oils and oils obtained from bituminous</w:t>
      </w:r>
      <w:r w:rsidRPr="00ED37FB">
        <w:rPr>
          <w:rFonts w:ascii="Times New Roman" w:hAnsi="Times New Roman" w:cs="Times New Roman"/>
          <w:sz w:val="24"/>
          <w:szCs w:val="24"/>
        </w:rPr>
        <w:t xml:space="preserve">, (ii) Petroleum oils, etc, (excl. crude); preparation, (iii) Transmission apparatus (iv) </w:t>
      </w:r>
      <w:r w:rsidRPr="00ED37FB">
        <w:rPr>
          <w:rFonts w:ascii="Times New Roman" w:eastAsia="Times New Roman" w:hAnsi="Times New Roman" w:cs="Times New Roman"/>
          <w:sz w:val="24"/>
          <w:szCs w:val="24"/>
          <w:lang w:eastAsia="en-IN"/>
        </w:rPr>
        <w:t xml:space="preserve">Monolithic integrate circuit </w:t>
      </w:r>
      <w:r w:rsidRPr="00ED37FB">
        <w:rPr>
          <w:rFonts w:ascii="Times New Roman" w:hAnsi="Times New Roman" w:cs="Times New Roman"/>
          <w:sz w:val="24"/>
          <w:szCs w:val="24"/>
        </w:rPr>
        <w:t xml:space="preserve"> and (v) </w:t>
      </w:r>
      <w:r w:rsidRPr="00ED37FB">
        <w:rPr>
          <w:rFonts w:ascii="Times New Roman" w:eastAsia="Times New Roman" w:hAnsi="Times New Roman" w:cs="Times New Roman"/>
          <w:sz w:val="24"/>
          <w:szCs w:val="24"/>
          <w:lang w:eastAsia="en-IN"/>
        </w:rPr>
        <w:t>Parts and accessories of Automatic Data Process</w:t>
      </w:r>
      <w:r w:rsidRPr="00ED37FB">
        <w:rPr>
          <w:rFonts w:ascii="Times New Roman" w:hAnsi="Times New Roman" w:cs="Times New Roman"/>
          <w:sz w:val="24"/>
          <w:szCs w:val="24"/>
        </w:rPr>
        <w:t>.</w:t>
      </w:r>
      <w:r w:rsidRPr="00ED37FB">
        <w:rPr>
          <w:rFonts w:ascii="Times New Roman" w:eastAsia="Times New Roman" w:hAnsi="Times New Roman" w:cs="Times New Roman"/>
          <w:sz w:val="24"/>
          <w:szCs w:val="24"/>
          <w:lang w:eastAsia="en-IN"/>
        </w:rPr>
        <w:t xml:space="preserve"> </w:t>
      </w:r>
    </w:p>
    <w:p w:rsidR="003F1F06" w:rsidRPr="00ED37FB" w:rsidRDefault="003F1F06" w:rsidP="003F1F06">
      <w:pPr>
        <w:pStyle w:val="BodyText"/>
        <w:rPr>
          <w:color w:val="000000" w:themeColor="text1"/>
          <w:szCs w:val="24"/>
        </w:rPr>
      </w:pPr>
      <w:r w:rsidRPr="00ED37FB">
        <w:rPr>
          <w:bCs/>
          <w:color w:val="000000" w:themeColor="text1"/>
          <w:szCs w:val="24"/>
        </w:rPr>
        <w:t>4.</w:t>
      </w:r>
      <w:r w:rsidRPr="00ED37FB">
        <w:rPr>
          <w:b/>
          <w:bCs/>
          <w:color w:val="000000" w:themeColor="text1"/>
          <w:szCs w:val="24"/>
        </w:rPr>
        <w:t xml:space="preserve">    </w:t>
      </w:r>
      <w:r w:rsidRPr="00ED37FB">
        <w:rPr>
          <w:rFonts w:eastAsia="Calibri"/>
          <w:color w:val="000000" w:themeColor="text1"/>
          <w:szCs w:val="24"/>
        </w:rPr>
        <w:t>Netherland</w:t>
      </w:r>
      <w:r w:rsidRPr="00ED37FB">
        <w:rPr>
          <w:bCs/>
          <w:color w:val="000000" w:themeColor="text1"/>
          <w:szCs w:val="24"/>
        </w:rPr>
        <w:t xml:space="preserve">’s </w:t>
      </w:r>
      <w:r w:rsidRPr="00ED37FB">
        <w:rPr>
          <w:color w:val="000000" w:themeColor="text1"/>
          <w:szCs w:val="24"/>
        </w:rPr>
        <w:t xml:space="preserve">total exports in 2018 were of the order of US$ 587,893 million. </w:t>
      </w:r>
      <w:proofErr w:type="gramStart"/>
      <w:r w:rsidRPr="00ED37FB">
        <w:rPr>
          <w:color w:val="000000" w:themeColor="text1"/>
          <w:szCs w:val="24"/>
        </w:rPr>
        <w:t>it</w:t>
      </w:r>
      <w:proofErr w:type="gramEnd"/>
      <w:r w:rsidRPr="00ED37FB">
        <w:rPr>
          <w:color w:val="000000" w:themeColor="text1"/>
          <w:szCs w:val="24"/>
        </w:rPr>
        <w:t xml:space="preserve"> has scaled </w:t>
      </w:r>
      <w:proofErr w:type="spellStart"/>
      <w:r w:rsidRPr="00ED37FB">
        <w:rPr>
          <w:color w:val="000000" w:themeColor="text1"/>
          <w:szCs w:val="24"/>
        </w:rPr>
        <w:t>upto</w:t>
      </w:r>
      <w:proofErr w:type="spellEnd"/>
      <w:r w:rsidRPr="00ED37FB">
        <w:rPr>
          <w:color w:val="000000" w:themeColor="text1"/>
          <w:szCs w:val="24"/>
        </w:rPr>
        <w:t xml:space="preserve"> US$ 768,259 million in 2022 with minor downfall recorded in 2018 and 2019 pick-up from 2021. During the period from 2018 to 2022, the annual average compound rate of growth of exports was 6.92%.</w:t>
      </w:r>
    </w:p>
    <w:p w:rsidR="003F1F06" w:rsidRPr="00ED37FB" w:rsidRDefault="003F1F06" w:rsidP="003F1F06">
      <w:pPr>
        <w:pStyle w:val="BodyText"/>
        <w:rPr>
          <w:color w:val="FF0000"/>
          <w:szCs w:val="24"/>
        </w:rPr>
      </w:pPr>
      <w:r w:rsidRPr="00ED37FB">
        <w:rPr>
          <w:rFonts w:eastAsia="Calibri"/>
          <w:color w:val="FF0000"/>
          <w:szCs w:val="24"/>
        </w:rPr>
        <w:t xml:space="preserve"> </w:t>
      </w:r>
    </w:p>
    <w:p w:rsidR="003F1F06" w:rsidRPr="00ED37FB" w:rsidRDefault="003F1F06" w:rsidP="003F1F06">
      <w:pPr>
        <w:pStyle w:val="BodyText"/>
        <w:rPr>
          <w:color w:val="000000" w:themeColor="text1"/>
          <w:szCs w:val="24"/>
        </w:rPr>
      </w:pPr>
      <w:r w:rsidRPr="00ED37FB">
        <w:rPr>
          <w:bCs/>
          <w:color w:val="000000" w:themeColor="text1"/>
          <w:szCs w:val="24"/>
        </w:rPr>
        <w:t xml:space="preserve">5.    </w:t>
      </w:r>
      <w:r w:rsidRPr="00ED37FB">
        <w:rPr>
          <w:rFonts w:eastAsia="Calibri"/>
          <w:color w:val="000000" w:themeColor="text1"/>
          <w:szCs w:val="24"/>
        </w:rPr>
        <w:t>Netherland</w:t>
      </w:r>
      <w:r w:rsidRPr="00ED37FB">
        <w:rPr>
          <w:color w:val="000000" w:themeColor="text1"/>
          <w:szCs w:val="24"/>
        </w:rPr>
        <w:t>’s</w:t>
      </w:r>
      <w:r w:rsidRPr="00ED37FB">
        <w:rPr>
          <w:b/>
          <w:bCs/>
          <w:color w:val="000000" w:themeColor="text1"/>
          <w:szCs w:val="24"/>
        </w:rPr>
        <w:t xml:space="preserve"> </w:t>
      </w:r>
      <w:r w:rsidRPr="00ED37FB">
        <w:rPr>
          <w:color w:val="000000" w:themeColor="text1"/>
          <w:szCs w:val="24"/>
        </w:rPr>
        <w:t>total imports in 2018 were of the order of US$ 521,036 million and which has touched US$ 710,772 million mark in 2022 after having experienced a decline in 2019 and 2020 pandemic hit-year. During the period from 2018 to 2022, the annual average compound rate of growth of Imports was 8.07%.</w:t>
      </w:r>
    </w:p>
    <w:p w:rsidR="003F1F06" w:rsidRPr="00ED37FB" w:rsidRDefault="003F1F06" w:rsidP="003F1F06">
      <w:pPr>
        <w:pStyle w:val="BodyText"/>
        <w:ind w:left="284"/>
        <w:rPr>
          <w:color w:val="FF0000"/>
          <w:szCs w:val="24"/>
        </w:rPr>
      </w:pPr>
    </w:p>
    <w:p w:rsidR="003F1F06" w:rsidRPr="00ED37FB" w:rsidRDefault="003F1F06" w:rsidP="003F1F06">
      <w:pPr>
        <w:pStyle w:val="BodyText"/>
        <w:rPr>
          <w:color w:val="000000" w:themeColor="text1"/>
          <w:szCs w:val="24"/>
        </w:rPr>
      </w:pPr>
      <w:r w:rsidRPr="00ED37FB">
        <w:rPr>
          <w:color w:val="000000" w:themeColor="text1"/>
          <w:szCs w:val="24"/>
        </w:rPr>
        <w:t xml:space="preserve">6.    </w:t>
      </w:r>
      <w:r w:rsidRPr="00ED37FB">
        <w:rPr>
          <w:rFonts w:eastAsia="Calibri"/>
          <w:color w:val="000000" w:themeColor="text1"/>
          <w:szCs w:val="24"/>
        </w:rPr>
        <w:t>Netherland</w:t>
      </w:r>
      <w:r w:rsidRPr="00ED37FB">
        <w:rPr>
          <w:color w:val="000000" w:themeColor="text1"/>
          <w:szCs w:val="24"/>
        </w:rPr>
        <w:t xml:space="preserve"> runs an overall Balance of Trade surplus from 2018 to 2022 which was quite significant to the tune of USD 57,487 million in 2022. During the period from 2018 to 2022, the annual average compound rate of growth of volume was 7.47%.</w:t>
      </w:r>
    </w:p>
    <w:p w:rsidR="003F1F06" w:rsidRPr="00ED37FB" w:rsidRDefault="003F1F06" w:rsidP="003F1F06">
      <w:pPr>
        <w:pStyle w:val="BodyText"/>
        <w:rPr>
          <w:color w:val="000000" w:themeColor="text1"/>
          <w:szCs w:val="24"/>
        </w:rPr>
      </w:pPr>
    </w:p>
    <w:p w:rsidR="003F1F06" w:rsidRPr="00ED37FB" w:rsidRDefault="003F1F06" w:rsidP="003F1F06">
      <w:pPr>
        <w:pStyle w:val="BodyText"/>
        <w:ind w:left="284"/>
        <w:rPr>
          <w:color w:val="000000" w:themeColor="text1"/>
          <w:szCs w:val="24"/>
        </w:rPr>
      </w:pPr>
      <w:r w:rsidRPr="00ED37FB">
        <w:rPr>
          <w:color w:val="000000" w:themeColor="text1"/>
          <w:szCs w:val="24"/>
        </w:rPr>
        <w:t xml:space="preserve">A snapshot of </w:t>
      </w:r>
      <w:r w:rsidRPr="00ED37FB">
        <w:rPr>
          <w:rFonts w:eastAsia="Calibri"/>
          <w:color w:val="000000" w:themeColor="text1"/>
          <w:szCs w:val="24"/>
        </w:rPr>
        <w:t>Netherland</w:t>
      </w:r>
      <w:r w:rsidRPr="00ED37FB">
        <w:rPr>
          <w:color w:val="000000" w:themeColor="text1"/>
          <w:szCs w:val="24"/>
        </w:rPr>
        <w:t xml:space="preserve">s’ overall Trade Statistics is presented in </w:t>
      </w:r>
      <w:r w:rsidRPr="00ED37FB">
        <w:rPr>
          <w:b/>
          <w:bCs/>
          <w:color w:val="000000" w:themeColor="text1"/>
          <w:szCs w:val="24"/>
          <w:u w:val="single"/>
        </w:rPr>
        <w:t>Annexure-II [Table 1: Figure 1]</w:t>
      </w:r>
      <w:r w:rsidRPr="00ED37FB">
        <w:rPr>
          <w:color w:val="000000" w:themeColor="text1"/>
          <w:szCs w:val="24"/>
        </w:rPr>
        <w:tab/>
      </w:r>
      <w:bookmarkStart w:id="0" w:name="_GoBack"/>
      <w:bookmarkEnd w:id="0"/>
    </w:p>
    <w:p w:rsidR="003F1F06" w:rsidRPr="00ED37FB" w:rsidRDefault="003F1F06" w:rsidP="003F1F06">
      <w:pPr>
        <w:pStyle w:val="BodyText"/>
        <w:ind w:left="284"/>
        <w:rPr>
          <w:b/>
          <w:szCs w:val="24"/>
        </w:rPr>
      </w:pPr>
    </w:p>
    <w:p w:rsidR="003F1F06" w:rsidRPr="00ED37FB" w:rsidRDefault="003F1F06" w:rsidP="003F1F06">
      <w:pPr>
        <w:pStyle w:val="BodyText"/>
        <w:ind w:left="284"/>
        <w:rPr>
          <w:color w:val="00B050"/>
          <w:szCs w:val="24"/>
        </w:rPr>
      </w:pPr>
      <w:r w:rsidRPr="00ED37FB">
        <w:rPr>
          <w:b/>
          <w:color w:val="00B050"/>
          <w:szCs w:val="24"/>
        </w:rPr>
        <w:t>BILATERAL TRADE WITH INDIA</w:t>
      </w:r>
    </w:p>
    <w:p w:rsidR="003F1F06" w:rsidRPr="00ED37FB" w:rsidRDefault="003F1F06" w:rsidP="003F1F06">
      <w:pPr>
        <w:pStyle w:val="BodyText"/>
        <w:ind w:left="284"/>
        <w:rPr>
          <w:b/>
          <w:szCs w:val="24"/>
        </w:rPr>
      </w:pPr>
    </w:p>
    <w:p w:rsidR="003F1F06" w:rsidRPr="00ED37FB" w:rsidRDefault="003F1F06" w:rsidP="003F1F06">
      <w:pPr>
        <w:pStyle w:val="BodyText"/>
        <w:ind w:left="284"/>
        <w:rPr>
          <w:b/>
          <w:color w:val="000000" w:themeColor="text1"/>
          <w:szCs w:val="24"/>
          <w:u w:val="single"/>
        </w:rPr>
      </w:pPr>
      <w:r w:rsidRPr="00ED37FB">
        <w:rPr>
          <w:b/>
          <w:color w:val="000000" w:themeColor="text1"/>
          <w:szCs w:val="24"/>
          <w:u w:val="single"/>
        </w:rPr>
        <w:t>Merchandise Trade</w:t>
      </w:r>
    </w:p>
    <w:p w:rsidR="003F1F06" w:rsidRPr="00ED37FB" w:rsidRDefault="003F1F06" w:rsidP="003F1F06">
      <w:pPr>
        <w:pStyle w:val="BodyText"/>
        <w:ind w:left="284" w:firstLine="720"/>
        <w:rPr>
          <w:b/>
          <w:color w:val="FF0000"/>
          <w:szCs w:val="24"/>
        </w:rPr>
      </w:pPr>
    </w:p>
    <w:p w:rsidR="003F1F06" w:rsidRPr="00ED37FB" w:rsidRDefault="003F1F06" w:rsidP="003F1F06">
      <w:pPr>
        <w:spacing w:line="240" w:lineRule="auto"/>
        <w:jc w:val="both"/>
        <w:rPr>
          <w:rFonts w:ascii="Times New Roman" w:hAnsi="Times New Roman" w:cs="Times New Roman"/>
          <w:color w:val="FF0000"/>
          <w:sz w:val="24"/>
          <w:szCs w:val="24"/>
        </w:rPr>
      </w:pPr>
      <w:r w:rsidRPr="00ED37FB">
        <w:rPr>
          <w:rFonts w:ascii="Times New Roman" w:hAnsi="Times New Roman" w:cs="Times New Roman"/>
          <w:color w:val="000000" w:themeColor="text1"/>
          <w:sz w:val="24"/>
          <w:szCs w:val="24"/>
        </w:rPr>
        <w:t>7.</w:t>
      </w:r>
      <w:r w:rsidRPr="00ED37FB">
        <w:rPr>
          <w:rFonts w:ascii="Times New Roman" w:hAnsi="Times New Roman" w:cs="Times New Roman"/>
          <w:color w:val="000000" w:themeColor="text1"/>
          <w:sz w:val="24"/>
          <w:szCs w:val="24"/>
        </w:rPr>
        <w:tab/>
      </w:r>
      <w:hyperlink r:id="rId5" w:tooltip="India" w:history="1">
        <w:r w:rsidRPr="00ED37FB">
          <w:rPr>
            <w:rStyle w:val="Hyperlink"/>
            <w:rFonts w:ascii="Times New Roman" w:hAnsi="Times New Roman" w:cs="Times New Roman"/>
            <w:color w:val="000000" w:themeColor="text1"/>
            <w:sz w:val="24"/>
            <w:szCs w:val="24"/>
          </w:rPr>
          <w:t>India</w:t>
        </w:r>
      </w:hyperlink>
      <w:r w:rsidRPr="00ED37FB">
        <w:rPr>
          <w:rFonts w:ascii="Times New Roman" w:hAnsi="Times New Roman" w:cs="Times New Roman"/>
          <w:color w:val="000000" w:themeColor="text1"/>
          <w:sz w:val="24"/>
          <w:szCs w:val="24"/>
        </w:rPr>
        <w:t xml:space="preserve"> and</w:t>
      </w:r>
      <w:r w:rsidRPr="00ED37FB">
        <w:rPr>
          <w:rFonts w:ascii="Times New Roman" w:hAnsi="Times New Roman" w:cs="Times New Roman"/>
          <w:color w:val="FF0000"/>
          <w:sz w:val="24"/>
          <w:szCs w:val="24"/>
        </w:rPr>
        <w:t xml:space="preserve"> </w:t>
      </w:r>
      <w:r w:rsidRPr="00ED37FB">
        <w:rPr>
          <w:rFonts w:ascii="Times New Roman" w:eastAsia="Calibri" w:hAnsi="Times New Roman" w:cs="Times New Roman"/>
          <w:sz w:val="24"/>
          <w:szCs w:val="24"/>
        </w:rPr>
        <w:t>Netherland</w:t>
      </w:r>
      <w:r w:rsidRPr="00ED37FB">
        <w:rPr>
          <w:rFonts w:ascii="Times New Roman" w:hAnsi="Times New Roman" w:cs="Times New Roman"/>
          <w:color w:val="FF0000"/>
          <w:sz w:val="24"/>
          <w:szCs w:val="24"/>
        </w:rPr>
        <w:t xml:space="preserve"> </w:t>
      </w:r>
      <w:r w:rsidRPr="00ED37FB">
        <w:rPr>
          <w:rFonts w:ascii="Times New Roman" w:hAnsi="Times New Roman" w:cs="Times New Roman"/>
          <w:color w:val="000000" w:themeColor="text1"/>
          <w:sz w:val="24"/>
          <w:szCs w:val="24"/>
        </w:rPr>
        <w:t xml:space="preserve">is among top trading partners in Europe. India’s export to </w:t>
      </w:r>
      <w:r w:rsidRPr="00ED37FB">
        <w:rPr>
          <w:rFonts w:ascii="Times New Roman" w:eastAsia="Calibri" w:hAnsi="Times New Roman" w:cs="Times New Roman"/>
          <w:color w:val="000000" w:themeColor="text1"/>
          <w:sz w:val="24"/>
          <w:szCs w:val="24"/>
        </w:rPr>
        <w:t>Netherland</w:t>
      </w:r>
      <w:r w:rsidRPr="00ED37FB">
        <w:rPr>
          <w:rFonts w:ascii="Times New Roman" w:hAnsi="Times New Roman" w:cs="Times New Roman"/>
          <w:color w:val="000000" w:themeColor="text1"/>
          <w:sz w:val="24"/>
          <w:szCs w:val="24"/>
        </w:rPr>
        <w:t xml:space="preserve"> was 4.79% of India’s total export value in FY 2022-23.  Netherland was the 3rd largest export destination in FY 2022-23.  In the same financial year imports from </w:t>
      </w:r>
      <w:r w:rsidRPr="00ED37FB">
        <w:rPr>
          <w:rFonts w:ascii="Times New Roman" w:eastAsia="Calibri" w:hAnsi="Times New Roman" w:cs="Times New Roman"/>
          <w:color w:val="000000" w:themeColor="text1"/>
          <w:sz w:val="24"/>
          <w:szCs w:val="24"/>
        </w:rPr>
        <w:t>Netherland</w:t>
      </w:r>
      <w:r w:rsidRPr="00ED37FB">
        <w:rPr>
          <w:rFonts w:ascii="Times New Roman" w:hAnsi="Times New Roman" w:cs="Times New Roman"/>
          <w:color w:val="000000" w:themeColor="text1"/>
          <w:sz w:val="24"/>
          <w:szCs w:val="24"/>
        </w:rPr>
        <w:t xml:space="preserve"> was 0.83% of India’s total import value.</w:t>
      </w:r>
      <w:r w:rsidRPr="00ED37FB">
        <w:rPr>
          <w:rFonts w:ascii="Times New Roman" w:hAnsi="Times New Roman" w:cs="Times New Roman"/>
          <w:color w:val="FF0000"/>
          <w:sz w:val="24"/>
          <w:szCs w:val="24"/>
        </w:rPr>
        <w:t xml:space="preserve"> </w:t>
      </w:r>
      <w:r w:rsidRPr="00ED37FB">
        <w:rPr>
          <w:rFonts w:ascii="Times New Roman" w:eastAsia="Calibri" w:hAnsi="Times New Roman" w:cs="Times New Roman"/>
          <w:sz w:val="24"/>
          <w:szCs w:val="24"/>
        </w:rPr>
        <w:t>Netherland</w:t>
      </w:r>
      <w:r w:rsidRPr="00ED37FB">
        <w:rPr>
          <w:rFonts w:ascii="Times New Roman" w:hAnsi="Times New Roman" w:cs="Times New Roman"/>
          <w:color w:val="FF0000"/>
          <w:sz w:val="24"/>
          <w:szCs w:val="24"/>
        </w:rPr>
        <w:t xml:space="preserve"> </w:t>
      </w:r>
      <w:r w:rsidRPr="00ED37FB">
        <w:rPr>
          <w:rFonts w:ascii="Times New Roman" w:hAnsi="Times New Roman" w:cs="Times New Roman"/>
          <w:color w:val="000000" w:themeColor="text1"/>
          <w:sz w:val="24"/>
          <w:szCs w:val="24"/>
        </w:rPr>
        <w:t xml:space="preserve">was the 11th largest trading partner of India in FY 2022-23. Almost 2.36% of </w:t>
      </w:r>
      <w:proofErr w:type="gramStart"/>
      <w:r w:rsidRPr="00ED37FB">
        <w:rPr>
          <w:rFonts w:ascii="Times New Roman" w:hAnsi="Times New Roman" w:cs="Times New Roman"/>
          <w:color w:val="000000" w:themeColor="text1"/>
          <w:sz w:val="24"/>
          <w:szCs w:val="24"/>
        </w:rPr>
        <w:t>India’s  international</w:t>
      </w:r>
      <w:proofErr w:type="gramEnd"/>
      <w:r w:rsidRPr="00ED37FB">
        <w:rPr>
          <w:rFonts w:ascii="Times New Roman" w:hAnsi="Times New Roman" w:cs="Times New Roman"/>
          <w:color w:val="000000" w:themeColor="text1"/>
          <w:sz w:val="24"/>
          <w:szCs w:val="24"/>
        </w:rPr>
        <w:t xml:space="preserve"> trade value was between India and </w:t>
      </w:r>
      <w:r w:rsidRPr="00ED37FB">
        <w:rPr>
          <w:rFonts w:ascii="Times New Roman" w:eastAsia="Calibri" w:hAnsi="Times New Roman" w:cs="Times New Roman"/>
          <w:color w:val="000000" w:themeColor="text1"/>
          <w:sz w:val="24"/>
          <w:szCs w:val="24"/>
        </w:rPr>
        <w:t>Netherland</w:t>
      </w:r>
      <w:r w:rsidRPr="00ED37FB">
        <w:rPr>
          <w:rFonts w:ascii="Times New Roman" w:hAnsi="Times New Roman" w:cs="Times New Roman"/>
          <w:color w:val="000000" w:themeColor="text1"/>
          <w:sz w:val="24"/>
          <w:szCs w:val="24"/>
        </w:rPr>
        <w:t xml:space="preserve"> has been recorded in FY 2022-23 has been recorded in DGCIS data base.</w:t>
      </w:r>
      <w:r w:rsidRPr="00ED37FB">
        <w:rPr>
          <w:rFonts w:ascii="Times New Roman" w:hAnsi="Times New Roman" w:cs="Times New Roman"/>
          <w:color w:val="FF0000"/>
          <w:sz w:val="24"/>
          <w:szCs w:val="24"/>
        </w:rPr>
        <w:t xml:space="preserve"> </w:t>
      </w:r>
    </w:p>
    <w:p w:rsidR="003F1F06" w:rsidRPr="00ED37FB" w:rsidRDefault="003F1F06" w:rsidP="003F1F06">
      <w:pPr>
        <w:pStyle w:val="NormalWeb"/>
        <w:jc w:val="both"/>
        <w:rPr>
          <w:color w:val="000000" w:themeColor="text1"/>
        </w:rPr>
      </w:pPr>
      <w:r w:rsidRPr="00ED37FB">
        <w:rPr>
          <w:color w:val="000000" w:themeColor="text1"/>
        </w:rPr>
        <w:t xml:space="preserve"> 8.</w:t>
      </w:r>
      <w:r w:rsidRPr="00ED37FB">
        <w:rPr>
          <w:color w:val="000000" w:themeColor="text1"/>
        </w:rPr>
        <w:tab/>
        <w:t>Indo-</w:t>
      </w:r>
      <w:r w:rsidRPr="00ED37FB">
        <w:rPr>
          <w:rFonts w:eastAsia="Calibri"/>
          <w:color w:val="000000" w:themeColor="text1"/>
        </w:rPr>
        <w:t>Netherland</w:t>
      </w:r>
      <w:r w:rsidRPr="00ED37FB">
        <w:rPr>
          <w:color w:val="000000" w:themeColor="text1"/>
        </w:rPr>
        <w:t xml:space="preserve"> total volume of bilateral trade in FY 2018-19 was of the order of US$ 12,877.72 million.  It has increased to US$ 27,582.09 million in FY 2022-23.  The annual compound growth rate of volume of trade during the period from 2018-19 to 2022-23 has been of the order of 20.98%.  </w:t>
      </w:r>
    </w:p>
    <w:p w:rsidR="003F1F06" w:rsidRPr="00ED37FB" w:rsidRDefault="003F1F06" w:rsidP="003F1F06">
      <w:pPr>
        <w:spacing w:line="240" w:lineRule="auto"/>
        <w:jc w:val="both"/>
        <w:rPr>
          <w:rFonts w:ascii="Times New Roman" w:hAnsi="Times New Roman" w:cs="Times New Roman"/>
          <w:color w:val="000000" w:themeColor="text1"/>
          <w:sz w:val="24"/>
          <w:szCs w:val="24"/>
        </w:rPr>
      </w:pPr>
      <w:r w:rsidRPr="00ED37FB">
        <w:rPr>
          <w:rFonts w:ascii="Times New Roman" w:hAnsi="Times New Roman" w:cs="Times New Roman"/>
          <w:bCs/>
          <w:color w:val="000000" w:themeColor="text1"/>
          <w:sz w:val="24"/>
          <w:szCs w:val="24"/>
        </w:rPr>
        <w:t>9.</w:t>
      </w:r>
      <w:r w:rsidRPr="00ED37FB">
        <w:rPr>
          <w:rFonts w:ascii="Times New Roman" w:hAnsi="Times New Roman" w:cs="Times New Roman"/>
          <w:bCs/>
          <w:color w:val="000000" w:themeColor="text1"/>
          <w:sz w:val="24"/>
          <w:szCs w:val="24"/>
        </w:rPr>
        <w:tab/>
        <w:t>It appears from the available figures that between 2018-19 and 2022-23,</w:t>
      </w:r>
      <w:r w:rsidRPr="00ED37FB">
        <w:rPr>
          <w:rFonts w:ascii="Times New Roman" w:hAnsi="Times New Roman" w:cs="Times New Roman"/>
          <w:bCs/>
          <w:color w:val="FF0000"/>
          <w:sz w:val="24"/>
          <w:szCs w:val="24"/>
        </w:rPr>
        <w:t xml:space="preserve"> </w:t>
      </w:r>
      <w:r w:rsidRPr="00ED37FB">
        <w:rPr>
          <w:rFonts w:ascii="Times New Roman" w:hAnsi="Times New Roman" w:cs="Times New Roman"/>
          <w:bCs/>
          <w:color w:val="000000" w:themeColor="text1"/>
          <w:sz w:val="24"/>
          <w:szCs w:val="24"/>
        </w:rPr>
        <w:t xml:space="preserve">India has had a surplus Balance of Trade with </w:t>
      </w:r>
      <w:r w:rsidRPr="00ED37FB">
        <w:rPr>
          <w:rFonts w:ascii="Times New Roman" w:eastAsia="Calibri" w:hAnsi="Times New Roman" w:cs="Times New Roman"/>
          <w:color w:val="000000" w:themeColor="text1"/>
          <w:szCs w:val="24"/>
        </w:rPr>
        <w:t>Netherland</w:t>
      </w:r>
      <w:r w:rsidRPr="00ED37FB">
        <w:rPr>
          <w:rFonts w:ascii="Times New Roman" w:eastAsia="Calibri" w:hAnsi="Times New Roman" w:cs="Times New Roman"/>
          <w:color w:val="000000" w:themeColor="text1"/>
          <w:sz w:val="24"/>
          <w:szCs w:val="24"/>
        </w:rPr>
        <w:t>.</w:t>
      </w:r>
      <w:r w:rsidRPr="00ED37FB">
        <w:rPr>
          <w:rFonts w:ascii="Times New Roman" w:hAnsi="Times New Roman" w:cs="Times New Roman"/>
          <w:color w:val="000000" w:themeColor="text1"/>
          <w:sz w:val="24"/>
          <w:szCs w:val="24"/>
        </w:rPr>
        <w:t xml:space="preserve"> Exports from </w:t>
      </w:r>
      <w:r w:rsidRPr="00ED37FB">
        <w:rPr>
          <w:rFonts w:ascii="Times New Roman" w:eastAsia="Calibri" w:hAnsi="Times New Roman" w:cs="Times New Roman"/>
          <w:color w:val="000000" w:themeColor="text1"/>
          <w:sz w:val="24"/>
          <w:szCs w:val="24"/>
        </w:rPr>
        <w:t>India</w:t>
      </w:r>
      <w:r w:rsidRPr="00ED37FB">
        <w:rPr>
          <w:rFonts w:ascii="Times New Roman" w:hAnsi="Times New Roman" w:cs="Times New Roman"/>
          <w:color w:val="000000" w:themeColor="text1"/>
          <w:sz w:val="24"/>
          <w:szCs w:val="24"/>
        </w:rPr>
        <w:t xml:space="preserve"> to </w:t>
      </w:r>
      <w:r w:rsidRPr="00ED37FB">
        <w:rPr>
          <w:rFonts w:ascii="Times New Roman" w:eastAsia="Calibri" w:hAnsi="Times New Roman" w:cs="Times New Roman"/>
          <w:color w:val="000000" w:themeColor="text1"/>
          <w:szCs w:val="24"/>
        </w:rPr>
        <w:t>Netherland</w:t>
      </w:r>
      <w:r w:rsidRPr="00ED37FB">
        <w:rPr>
          <w:rFonts w:ascii="Times New Roman" w:hAnsi="Times New Roman" w:cs="Times New Roman"/>
          <w:color w:val="000000" w:themeColor="text1"/>
          <w:sz w:val="24"/>
          <w:szCs w:val="24"/>
        </w:rPr>
        <w:t xml:space="preserve"> increased steeply 93.78% in FY2021-22 followed by another 72.32% in FY 2022-23 however export from India to </w:t>
      </w:r>
      <w:r w:rsidRPr="00ED37FB">
        <w:rPr>
          <w:rFonts w:ascii="Times New Roman" w:eastAsia="Calibri" w:hAnsi="Times New Roman" w:cs="Times New Roman"/>
          <w:color w:val="000000" w:themeColor="text1"/>
          <w:szCs w:val="24"/>
        </w:rPr>
        <w:t>Netherland</w:t>
      </w:r>
      <w:r w:rsidRPr="00ED37FB">
        <w:rPr>
          <w:rFonts w:ascii="Times New Roman" w:hAnsi="Times New Roman" w:cs="Times New Roman"/>
          <w:color w:val="000000" w:themeColor="text1"/>
          <w:sz w:val="24"/>
          <w:szCs w:val="24"/>
        </w:rPr>
        <w:t xml:space="preserve"> remarkably declined in FY 2020-21 by 22.64%.</w:t>
      </w:r>
      <w:r w:rsidRPr="00ED37FB">
        <w:rPr>
          <w:rFonts w:ascii="Times New Roman" w:hAnsi="Times New Roman" w:cs="Times New Roman"/>
          <w:color w:val="FF0000"/>
          <w:sz w:val="24"/>
          <w:szCs w:val="24"/>
        </w:rPr>
        <w:t xml:space="preserve"> </w:t>
      </w:r>
      <w:r w:rsidRPr="00ED37FB">
        <w:rPr>
          <w:rFonts w:ascii="Times New Roman" w:hAnsi="Times New Roman" w:cs="Times New Roman"/>
          <w:color w:val="000000" w:themeColor="text1"/>
          <w:sz w:val="24"/>
          <w:szCs w:val="24"/>
        </w:rPr>
        <w:t xml:space="preserve">The annual average compound rate of growth of Exports was 25.15%.   On the other hand, imports from </w:t>
      </w:r>
      <w:r w:rsidRPr="00ED37FB">
        <w:rPr>
          <w:rFonts w:ascii="Times New Roman" w:eastAsia="Calibri" w:hAnsi="Times New Roman" w:cs="Times New Roman"/>
          <w:color w:val="000000" w:themeColor="text1"/>
          <w:szCs w:val="24"/>
        </w:rPr>
        <w:t>Netherland</w:t>
      </w:r>
      <w:r w:rsidRPr="00ED37FB">
        <w:rPr>
          <w:rFonts w:ascii="Times New Roman" w:hAnsi="Times New Roman" w:cs="Times New Roman"/>
          <w:color w:val="000000" w:themeColor="text1"/>
          <w:sz w:val="24"/>
          <w:szCs w:val="24"/>
        </w:rPr>
        <w:t xml:space="preserve"> to India increased</w:t>
      </w:r>
      <w:r w:rsidRPr="00ED37FB">
        <w:rPr>
          <w:rFonts w:ascii="Times New Roman" w:hAnsi="Times New Roman" w:cs="Times New Roman"/>
          <w:color w:val="FF0000"/>
          <w:sz w:val="24"/>
          <w:szCs w:val="24"/>
        </w:rPr>
        <w:t xml:space="preserve"> </w:t>
      </w:r>
      <w:r w:rsidRPr="00ED37FB">
        <w:rPr>
          <w:rFonts w:ascii="Times New Roman" w:hAnsi="Times New Roman" w:cs="Times New Roman"/>
          <w:color w:val="000000" w:themeColor="text1"/>
          <w:sz w:val="24"/>
          <w:szCs w:val="24"/>
        </w:rPr>
        <w:t xml:space="preserve">by 34.98% in FY 2021-22 and 33.12 % hike in FY 2022-23 in </w:t>
      </w:r>
      <w:r w:rsidRPr="00ED37FB">
        <w:rPr>
          <w:rFonts w:ascii="Times New Roman" w:eastAsia="Calibri" w:hAnsi="Times New Roman" w:cs="Times New Roman"/>
          <w:color w:val="000000" w:themeColor="text1"/>
          <w:sz w:val="24"/>
          <w:szCs w:val="24"/>
        </w:rPr>
        <w:t>comparison with</w:t>
      </w:r>
      <w:r w:rsidRPr="00ED37FB">
        <w:rPr>
          <w:rFonts w:ascii="Times New Roman" w:hAnsi="Times New Roman" w:cs="Times New Roman"/>
          <w:color w:val="000000" w:themeColor="text1"/>
          <w:sz w:val="24"/>
          <w:szCs w:val="24"/>
        </w:rPr>
        <w:t xml:space="preserve"> </w:t>
      </w:r>
      <w:proofErr w:type="spellStart"/>
      <w:proofErr w:type="gramStart"/>
      <w:r w:rsidRPr="00ED37FB">
        <w:rPr>
          <w:rFonts w:ascii="Times New Roman" w:hAnsi="Times New Roman" w:cs="Times New Roman"/>
          <w:color w:val="000000" w:themeColor="text1"/>
          <w:sz w:val="24"/>
          <w:szCs w:val="24"/>
        </w:rPr>
        <w:t>it’s</w:t>
      </w:r>
      <w:proofErr w:type="spellEnd"/>
      <w:proofErr w:type="gramEnd"/>
      <w:r w:rsidRPr="00ED37FB">
        <w:rPr>
          <w:rFonts w:ascii="Times New Roman" w:hAnsi="Times New Roman" w:cs="Times New Roman"/>
          <w:color w:val="000000" w:themeColor="text1"/>
          <w:sz w:val="24"/>
          <w:szCs w:val="24"/>
        </w:rPr>
        <w:t xml:space="preserve"> previous financial year.</w:t>
      </w:r>
      <w:r w:rsidRPr="00ED37FB">
        <w:rPr>
          <w:rFonts w:ascii="Times New Roman" w:hAnsi="Times New Roman" w:cs="Times New Roman"/>
          <w:color w:val="FF0000"/>
          <w:sz w:val="24"/>
          <w:szCs w:val="24"/>
        </w:rPr>
        <w:t xml:space="preserve"> </w:t>
      </w:r>
      <w:r w:rsidRPr="00ED37FB">
        <w:rPr>
          <w:rFonts w:ascii="Times New Roman" w:hAnsi="Times New Roman" w:cs="Times New Roman"/>
          <w:color w:val="000000" w:themeColor="text1"/>
          <w:sz w:val="24"/>
          <w:szCs w:val="24"/>
        </w:rPr>
        <w:t>During the period from 2018-19 to 2022-23, the annual average compound rate of growth of Imports was 10.06%.</w:t>
      </w:r>
    </w:p>
    <w:p w:rsidR="003F1F06" w:rsidRPr="00ED37FB" w:rsidRDefault="003F1F06" w:rsidP="003F1F06">
      <w:pPr>
        <w:pStyle w:val="BodyText"/>
        <w:rPr>
          <w:bCs/>
          <w:color w:val="000000" w:themeColor="text1"/>
          <w:szCs w:val="24"/>
        </w:rPr>
      </w:pPr>
      <w:r w:rsidRPr="00ED37FB">
        <w:rPr>
          <w:bCs/>
          <w:color w:val="000000" w:themeColor="text1"/>
          <w:szCs w:val="24"/>
        </w:rPr>
        <w:t xml:space="preserve">A snapshot of India’s merchandise trade statistics </w:t>
      </w:r>
      <w:proofErr w:type="spellStart"/>
      <w:r w:rsidRPr="00ED37FB">
        <w:rPr>
          <w:bCs/>
          <w:color w:val="000000" w:themeColor="text1"/>
          <w:szCs w:val="24"/>
        </w:rPr>
        <w:t>w.r.t</w:t>
      </w:r>
      <w:proofErr w:type="spellEnd"/>
      <w:r w:rsidRPr="00ED37FB">
        <w:rPr>
          <w:bCs/>
          <w:color w:val="000000" w:themeColor="text1"/>
          <w:szCs w:val="24"/>
        </w:rPr>
        <w:t xml:space="preserve">. </w:t>
      </w:r>
      <w:r w:rsidRPr="00ED37FB">
        <w:rPr>
          <w:rFonts w:eastAsia="Calibri"/>
          <w:color w:val="000000" w:themeColor="text1"/>
          <w:szCs w:val="24"/>
        </w:rPr>
        <w:t>Netherland</w:t>
      </w:r>
      <w:r w:rsidRPr="00ED37FB">
        <w:rPr>
          <w:bCs/>
          <w:color w:val="000000" w:themeColor="text1"/>
          <w:szCs w:val="24"/>
        </w:rPr>
        <w:t xml:space="preserve"> is presented in </w:t>
      </w:r>
      <w:r w:rsidRPr="00ED37FB">
        <w:rPr>
          <w:b/>
          <w:bCs/>
          <w:color w:val="000000" w:themeColor="text1"/>
          <w:szCs w:val="24"/>
          <w:u w:val="single"/>
        </w:rPr>
        <w:t>Annexure-II [Table 2: Figure 2</w:t>
      </w:r>
    </w:p>
    <w:p w:rsidR="003F1F06" w:rsidRPr="00ED37FB" w:rsidRDefault="003F1F06" w:rsidP="003F1F06">
      <w:pPr>
        <w:pStyle w:val="BodyText"/>
        <w:tabs>
          <w:tab w:val="left" w:pos="8222"/>
        </w:tabs>
        <w:rPr>
          <w:color w:val="FF0000"/>
          <w:szCs w:val="24"/>
        </w:rPr>
      </w:pPr>
    </w:p>
    <w:p w:rsidR="003F1F06" w:rsidRPr="00ED37FB" w:rsidRDefault="003F1F06" w:rsidP="003F1F06">
      <w:pPr>
        <w:pStyle w:val="BodyText"/>
        <w:rPr>
          <w:color w:val="000000" w:themeColor="text1"/>
          <w:szCs w:val="24"/>
        </w:rPr>
      </w:pPr>
      <w:r w:rsidRPr="00ED37FB">
        <w:rPr>
          <w:color w:val="000000" w:themeColor="text1"/>
          <w:szCs w:val="24"/>
        </w:rPr>
        <w:t>10.</w:t>
      </w:r>
      <w:r w:rsidRPr="00ED37FB">
        <w:rPr>
          <w:color w:val="000000" w:themeColor="text1"/>
          <w:szCs w:val="24"/>
        </w:rPr>
        <w:tab/>
        <w:t xml:space="preserve">Additionally, </w:t>
      </w:r>
      <w:r w:rsidRPr="00ED37FB">
        <w:rPr>
          <w:b/>
          <w:bCs/>
          <w:color w:val="000000" w:themeColor="text1"/>
          <w:szCs w:val="24"/>
        </w:rPr>
        <w:t xml:space="preserve">from Tables 3 &amp; 4 presented at Annexure-II </w:t>
      </w:r>
      <w:r w:rsidRPr="00ED37FB">
        <w:rPr>
          <w:bCs/>
          <w:color w:val="000000" w:themeColor="text1"/>
          <w:szCs w:val="24"/>
        </w:rPr>
        <w:t>below</w:t>
      </w:r>
      <w:r w:rsidRPr="00ED37FB">
        <w:rPr>
          <w:color w:val="000000" w:themeColor="text1"/>
          <w:szCs w:val="24"/>
        </w:rPr>
        <w:t xml:space="preserve"> the following are stated:</w:t>
      </w:r>
    </w:p>
    <w:p w:rsidR="003F1F06" w:rsidRPr="00ED37FB" w:rsidRDefault="003F1F06" w:rsidP="003F1F06">
      <w:pPr>
        <w:pStyle w:val="BodyText"/>
        <w:rPr>
          <w:color w:val="000000" w:themeColor="text1"/>
          <w:szCs w:val="24"/>
        </w:rPr>
      </w:pPr>
    </w:p>
    <w:p w:rsidR="003F1F06" w:rsidRPr="00ED37FB" w:rsidRDefault="003F1F06" w:rsidP="003F1F06">
      <w:pPr>
        <w:pStyle w:val="BodyText"/>
        <w:numPr>
          <w:ilvl w:val="0"/>
          <w:numId w:val="1"/>
        </w:numPr>
        <w:spacing w:after="120"/>
        <w:ind w:left="0" w:firstLine="0"/>
        <w:rPr>
          <w:color w:val="000000" w:themeColor="text1"/>
          <w:szCs w:val="24"/>
        </w:rPr>
      </w:pPr>
      <w:r w:rsidRPr="00ED37FB">
        <w:rPr>
          <w:color w:val="000000" w:themeColor="text1"/>
          <w:szCs w:val="24"/>
        </w:rPr>
        <w:t xml:space="preserve">Petroleum Products, Telecom Instruments and </w:t>
      </w:r>
      <w:proofErr w:type="spellStart"/>
      <w:r w:rsidRPr="00ED37FB">
        <w:rPr>
          <w:color w:val="000000" w:themeColor="text1"/>
          <w:szCs w:val="24"/>
        </w:rPr>
        <w:t>Aluminium</w:t>
      </w:r>
      <w:proofErr w:type="spellEnd"/>
      <w:r w:rsidRPr="00ED37FB">
        <w:rPr>
          <w:color w:val="000000" w:themeColor="text1"/>
          <w:szCs w:val="24"/>
        </w:rPr>
        <w:t xml:space="preserve"> &amp; Products Made of </w:t>
      </w:r>
      <w:proofErr w:type="spellStart"/>
      <w:r w:rsidRPr="00ED37FB">
        <w:rPr>
          <w:color w:val="000000" w:themeColor="text1"/>
          <w:szCs w:val="24"/>
        </w:rPr>
        <w:t>Aluminium</w:t>
      </w:r>
      <w:proofErr w:type="spellEnd"/>
      <w:r w:rsidRPr="00ED37FB">
        <w:rPr>
          <w:color w:val="000000" w:themeColor="text1"/>
          <w:szCs w:val="24"/>
        </w:rPr>
        <w:t xml:space="preserve"> are occupying the top three slots in India’s exports to </w:t>
      </w:r>
      <w:r w:rsidRPr="00ED37FB">
        <w:rPr>
          <w:rFonts w:eastAsia="Calibri"/>
          <w:color w:val="000000" w:themeColor="text1"/>
          <w:szCs w:val="24"/>
        </w:rPr>
        <w:t>Netherland</w:t>
      </w:r>
      <w:r w:rsidRPr="00ED37FB">
        <w:rPr>
          <w:color w:val="000000" w:themeColor="text1"/>
          <w:szCs w:val="24"/>
        </w:rPr>
        <w:t xml:space="preserve"> in the year 2022-23. Petroleum Products occupying the bulk share.</w:t>
      </w:r>
    </w:p>
    <w:p w:rsidR="003F1F06" w:rsidRPr="00ED37FB" w:rsidRDefault="003F1F06" w:rsidP="003F1F06">
      <w:pPr>
        <w:pStyle w:val="BodyText"/>
        <w:numPr>
          <w:ilvl w:val="0"/>
          <w:numId w:val="1"/>
        </w:numPr>
        <w:spacing w:after="120"/>
        <w:ind w:left="0" w:firstLine="0"/>
        <w:rPr>
          <w:color w:val="000000" w:themeColor="text1"/>
          <w:szCs w:val="24"/>
        </w:rPr>
      </w:pPr>
      <w:r w:rsidRPr="00ED37FB">
        <w:rPr>
          <w:color w:val="000000" w:themeColor="text1"/>
          <w:szCs w:val="24"/>
        </w:rPr>
        <w:t xml:space="preserve">Petroleum: Crude; Vegetable oils and Iron &amp; </w:t>
      </w:r>
      <w:proofErr w:type="spellStart"/>
      <w:r w:rsidRPr="00ED37FB">
        <w:rPr>
          <w:color w:val="000000" w:themeColor="text1"/>
          <w:szCs w:val="24"/>
        </w:rPr>
        <w:t>Steel.are</w:t>
      </w:r>
      <w:proofErr w:type="spellEnd"/>
      <w:r w:rsidRPr="00ED37FB">
        <w:rPr>
          <w:color w:val="000000" w:themeColor="text1"/>
          <w:szCs w:val="24"/>
        </w:rPr>
        <w:t xml:space="preserve"> the three major commodities in India’s imports list from </w:t>
      </w:r>
      <w:r w:rsidRPr="00ED37FB">
        <w:rPr>
          <w:rFonts w:eastAsia="Calibri"/>
          <w:color w:val="000000" w:themeColor="text1"/>
          <w:szCs w:val="24"/>
        </w:rPr>
        <w:t xml:space="preserve">Netherland </w:t>
      </w:r>
      <w:r w:rsidRPr="00ED37FB">
        <w:rPr>
          <w:color w:val="000000" w:themeColor="text1"/>
          <w:szCs w:val="24"/>
        </w:rPr>
        <w:t xml:space="preserve"> in the year 2022-23, though first time in 2022-23 </w:t>
      </w:r>
      <w:proofErr w:type="spellStart"/>
      <w:r w:rsidRPr="00ED37FB">
        <w:rPr>
          <w:color w:val="000000" w:themeColor="text1"/>
          <w:szCs w:val="24"/>
        </w:rPr>
        <w:t>Petroleum;Crude</w:t>
      </w:r>
      <w:proofErr w:type="spellEnd"/>
      <w:r w:rsidRPr="00ED37FB">
        <w:rPr>
          <w:color w:val="000000" w:themeColor="text1"/>
          <w:szCs w:val="24"/>
        </w:rPr>
        <w:t xml:space="preserve"> is enlisted in import list with a bulk share .</w:t>
      </w:r>
    </w:p>
    <w:p w:rsidR="003F1F06" w:rsidRPr="00ED37FB" w:rsidRDefault="003F1F06" w:rsidP="003F1F06">
      <w:pPr>
        <w:pStyle w:val="BodyText"/>
        <w:ind w:left="284" w:firstLine="720"/>
        <w:rPr>
          <w:b/>
          <w:color w:val="0070C0"/>
          <w:szCs w:val="24"/>
        </w:rPr>
      </w:pPr>
    </w:p>
    <w:p w:rsidR="003F1F06" w:rsidRPr="00ED37FB" w:rsidRDefault="003F1F06" w:rsidP="003F1F06">
      <w:pPr>
        <w:pStyle w:val="BodyText"/>
        <w:ind w:left="284" w:firstLine="720"/>
        <w:jc w:val="center"/>
        <w:rPr>
          <w:b/>
          <w:color w:val="FF0000"/>
          <w:szCs w:val="24"/>
        </w:rPr>
      </w:pPr>
      <w:r w:rsidRPr="00ED37FB">
        <w:rPr>
          <w:b/>
          <w:color w:val="FF0000"/>
          <w:szCs w:val="24"/>
        </w:rPr>
        <w:t>“NOTICE”</w:t>
      </w:r>
    </w:p>
    <w:p w:rsidR="003F1F06" w:rsidRPr="00ED37FB" w:rsidRDefault="003F1F06" w:rsidP="003F1F06">
      <w:pPr>
        <w:pStyle w:val="BodyText"/>
        <w:ind w:left="284" w:firstLine="720"/>
        <w:rPr>
          <w:b/>
          <w:color w:val="FF0000"/>
          <w:szCs w:val="24"/>
        </w:rPr>
      </w:pPr>
    </w:p>
    <w:p w:rsidR="003F1F06" w:rsidRPr="00ED37FB" w:rsidRDefault="003F1F06" w:rsidP="003F1F06">
      <w:pPr>
        <w:pStyle w:val="BodyText"/>
        <w:ind w:left="142"/>
        <w:rPr>
          <w:b/>
          <w:color w:val="FF0000"/>
          <w:szCs w:val="24"/>
        </w:rPr>
      </w:pPr>
      <w:r w:rsidRPr="00ED37FB">
        <w:rPr>
          <w:b/>
          <w:color w:val="FF0000"/>
          <w:szCs w:val="24"/>
        </w:rPr>
        <w:t>Rights of permission for reproduction in part or entirely of these official papers published in the Indian Trade Journal is reserved by the Directorate General of Commercial Intelligence &amp; Statistics, Kolkata – 700 107.</w:t>
      </w:r>
    </w:p>
    <w:p w:rsidR="003F1F06" w:rsidRPr="00ED37FB" w:rsidRDefault="003F1F06" w:rsidP="003F1F06">
      <w:pPr>
        <w:pStyle w:val="BodyText"/>
        <w:ind w:left="142"/>
        <w:rPr>
          <w:b/>
          <w:color w:val="C0000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142" w:firstLine="720"/>
        <w:rPr>
          <w:b/>
          <w:color w:val="0070C0"/>
          <w:szCs w:val="24"/>
        </w:rPr>
      </w:pPr>
    </w:p>
    <w:p w:rsidR="003F1F06" w:rsidRPr="00ED37FB" w:rsidRDefault="003F1F06" w:rsidP="003F1F06">
      <w:pPr>
        <w:pStyle w:val="BodyText"/>
        <w:ind w:left="720" w:firstLine="720"/>
        <w:jc w:val="right"/>
        <w:rPr>
          <w:b/>
          <w:bCs/>
          <w:color w:val="0070C0"/>
          <w:szCs w:val="24"/>
          <w:u w:val="single"/>
        </w:rPr>
      </w:pPr>
    </w:p>
    <w:p w:rsidR="003F1F06" w:rsidRPr="00ED37FB" w:rsidRDefault="003F1F06" w:rsidP="003F1F06">
      <w:pPr>
        <w:pStyle w:val="BodyText"/>
        <w:ind w:left="720" w:firstLine="720"/>
        <w:jc w:val="right"/>
        <w:rPr>
          <w:b/>
          <w:bCs/>
          <w:color w:val="0070C0"/>
          <w:szCs w:val="24"/>
          <w:u w:val="single"/>
        </w:rPr>
      </w:pPr>
    </w:p>
    <w:p w:rsidR="003F1F06" w:rsidRPr="00ED37FB" w:rsidRDefault="003F1F06" w:rsidP="003F1F06">
      <w:pPr>
        <w:pStyle w:val="BodyText"/>
        <w:ind w:left="720" w:firstLine="720"/>
        <w:jc w:val="right"/>
        <w:rPr>
          <w:b/>
          <w:bCs/>
          <w:szCs w:val="24"/>
          <w:u w:val="single"/>
        </w:rPr>
      </w:pPr>
      <w:r w:rsidRPr="00ED37FB">
        <w:rPr>
          <w:b/>
          <w:bCs/>
          <w:szCs w:val="24"/>
          <w:u w:val="single"/>
        </w:rPr>
        <w:lastRenderedPageBreak/>
        <w:t>Annexure-I</w:t>
      </w:r>
    </w:p>
    <w:p w:rsidR="003F1F06" w:rsidRPr="00ED37FB" w:rsidRDefault="003F1F06" w:rsidP="003F1F06">
      <w:pPr>
        <w:pStyle w:val="BodyText"/>
        <w:ind w:left="720" w:firstLine="720"/>
        <w:jc w:val="right"/>
        <w:rPr>
          <w:b/>
          <w:bCs/>
          <w:szCs w:val="24"/>
          <w:u w:val="single"/>
        </w:rPr>
      </w:pPr>
    </w:p>
    <w:p w:rsidR="003F1F06" w:rsidRPr="00ED37FB" w:rsidRDefault="003F1F06" w:rsidP="003F1F06">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tbl>
      <w:tblPr>
        <w:tblStyle w:val="TableGrid"/>
        <w:tblW w:w="0" w:type="auto"/>
        <w:tblInd w:w="1441" w:type="dxa"/>
        <w:tblLook w:val="04A0"/>
      </w:tblPr>
      <w:tblGrid>
        <w:gridCol w:w="8296"/>
      </w:tblGrid>
      <w:tr w:rsidR="003F1F06" w:rsidRPr="00ED37FB" w:rsidTr="00DA22C0">
        <w:tc>
          <w:tcPr>
            <w:tcW w:w="8296" w:type="dxa"/>
            <w:hideMark/>
          </w:tcPr>
          <w:p w:rsidR="003F1F06" w:rsidRPr="00ED37FB" w:rsidRDefault="003F1F06" w:rsidP="00DA22C0">
            <w:pPr>
              <w:spacing w:before="100" w:beforeAutospacing="1" w:after="100" w:afterAutospacing="1"/>
              <w:jc w:val="center"/>
              <w:rPr>
                <w:rFonts w:ascii="Times New Roman" w:eastAsia="Times New Roman" w:hAnsi="Times New Roman" w:cs="Times New Roman"/>
                <w:color w:val="00B050"/>
                <w:sz w:val="24"/>
                <w:szCs w:val="24"/>
                <w:lang w:eastAsia="en-IN"/>
              </w:rPr>
            </w:pPr>
            <w:r w:rsidRPr="00ED37FB">
              <w:rPr>
                <w:rFonts w:ascii="Times New Roman" w:eastAsia="Times New Roman" w:hAnsi="Times New Roman" w:cs="Times New Roman"/>
                <w:b/>
                <w:bCs/>
                <w:color w:val="00B050"/>
                <w:sz w:val="24"/>
                <w:szCs w:val="24"/>
                <w:lang w:eastAsia="en-IN"/>
              </w:rPr>
              <w:t xml:space="preserve">The Netherlands: Selected Economic Indicators, 2021–2024 </w:t>
            </w:r>
          </w:p>
          <w:p w:rsidR="003F1F06" w:rsidRPr="00ED37FB" w:rsidRDefault="003F1F06" w:rsidP="00DA22C0">
            <w:pPr>
              <w:spacing w:before="100" w:beforeAutospacing="1" w:after="100" w:afterAutospacing="1"/>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(Percent change, unless otherwise indicated) </w:t>
            </w:r>
          </w:p>
        </w:tc>
      </w:tr>
      <w:tr w:rsidR="003F1F06" w:rsidRPr="00ED37FB" w:rsidTr="00DA22C0">
        <w:tc>
          <w:tcPr>
            <w:tcW w:w="8296" w:type="dxa"/>
            <w:hideMark/>
          </w:tcPr>
          <w:tbl>
            <w:tblPr>
              <w:tblStyle w:val="TableGrid"/>
              <w:tblW w:w="8070" w:type="dxa"/>
              <w:tblLook w:val="04A0"/>
            </w:tblPr>
            <w:tblGrid>
              <w:gridCol w:w="4650"/>
              <w:gridCol w:w="855"/>
              <w:gridCol w:w="855"/>
              <w:gridCol w:w="855"/>
              <w:gridCol w:w="855"/>
            </w:tblGrid>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2021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2022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2023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2024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proofErr w:type="spellStart"/>
                  <w:r w:rsidRPr="00ED37FB">
                    <w:rPr>
                      <w:rFonts w:ascii="Times New Roman" w:eastAsia="Times New Roman" w:hAnsi="Times New Roman" w:cs="Times New Roman"/>
                      <w:sz w:val="24"/>
                      <w:szCs w:val="24"/>
                      <w:lang w:eastAsia="en-IN"/>
                    </w:rPr>
                    <w:t>Proj</w:t>
                  </w:r>
                  <w:proofErr w:type="spellEnd"/>
                  <w:r w:rsidRPr="00ED37FB">
                    <w:rPr>
                      <w:rFonts w:ascii="Times New Roman" w:eastAsia="Times New Roman" w:hAnsi="Times New Roman" w:cs="Times New Roman"/>
                      <w:sz w:val="24"/>
                      <w:szCs w:val="24"/>
                      <w:lang w:eastAsia="en-IN"/>
                    </w:rPr>
                    <w:t xml:space="preserv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proofErr w:type="spellStart"/>
                  <w:r w:rsidRPr="00ED37FB">
                    <w:rPr>
                      <w:rFonts w:ascii="Times New Roman" w:eastAsia="Times New Roman" w:hAnsi="Times New Roman" w:cs="Times New Roman"/>
                      <w:sz w:val="24"/>
                      <w:szCs w:val="24"/>
                      <w:lang w:eastAsia="en-IN"/>
                    </w:rPr>
                    <w:t>Proj</w:t>
                  </w:r>
                  <w:proofErr w:type="spellEnd"/>
                  <w:r w:rsidRPr="00ED37FB">
                    <w:rPr>
                      <w:rFonts w:ascii="Times New Roman" w:eastAsia="Times New Roman" w:hAnsi="Times New Roman" w:cs="Times New Roman"/>
                      <w:sz w:val="24"/>
                      <w:szCs w:val="24"/>
                      <w:lang w:eastAsia="en-IN"/>
                    </w:rPr>
                    <w:t xml:space="preserv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proofErr w:type="spellStart"/>
                  <w:r w:rsidRPr="00ED37FB">
                    <w:rPr>
                      <w:rFonts w:ascii="Times New Roman" w:eastAsia="Times New Roman" w:hAnsi="Times New Roman" w:cs="Times New Roman"/>
                      <w:sz w:val="24"/>
                      <w:szCs w:val="24"/>
                      <w:lang w:eastAsia="en-IN"/>
                    </w:rPr>
                    <w:t>Proj</w:t>
                  </w:r>
                  <w:proofErr w:type="spellEnd"/>
                  <w:r w:rsidRPr="00ED37FB">
                    <w:rPr>
                      <w:rFonts w:ascii="Times New Roman" w:eastAsia="Times New Roman" w:hAnsi="Times New Roman" w:cs="Times New Roman"/>
                      <w:sz w:val="24"/>
                      <w:szCs w:val="24"/>
                      <w:lang w:eastAsia="en-IN"/>
                    </w:rPr>
                    <w:t xml:space="preserve">.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National accounts (percent change)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Gross domestic product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4.9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1.2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Private consumption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5.7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0.8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1.3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Public consumption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2.3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Gross fixed investment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2.7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0.9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1.5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Total domestic demand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3.9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1.7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1.6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Exports of goods and nonfactor services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5.4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3.0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Imports of goods and nonfactor services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4.4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3.5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3.8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Net foreign balance¹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-0.9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-0.3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Output gap (percent of potential output)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1.5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1.1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Prices, wages, and employment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Consumer price index (HICP)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2.8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11.6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4.8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3.9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GDP deflator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2.5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6.1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4.0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Hourly compensation (manufacturing)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3.9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3.5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Unit </w:t>
                  </w:r>
                  <w:proofErr w:type="spellStart"/>
                  <w:r w:rsidRPr="00ED37FB">
                    <w:rPr>
                      <w:rFonts w:ascii="Times New Roman" w:eastAsia="Times New Roman" w:hAnsi="Times New Roman" w:cs="Times New Roman"/>
                      <w:sz w:val="24"/>
                      <w:szCs w:val="24"/>
                      <w:lang w:eastAsia="en-IN"/>
                    </w:rPr>
                    <w:t>labor</w:t>
                  </w:r>
                  <w:proofErr w:type="spellEnd"/>
                  <w:r w:rsidRPr="00ED37FB">
                    <w:rPr>
                      <w:rFonts w:ascii="Times New Roman" w:eastAsia="Times New Roman" w:hAnsi="Times New Roman" w:cs="Times New Roman"/>
                      <w:sz w:val="24"/>
                      <w:szCs w:val="24"/>
                      <w:lang w:eastAsia="en-IN"/>
                    </w:rPr>
                    <w:t xml:space="preserve"> costs (manufacturing)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-4.8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0.7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0.7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Employment (percent)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Unemployment rate (ILO definition)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3.7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4.2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NAIRU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5.2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External trade (percent of GDP)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Merchandise balance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7.3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7.2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6.7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6.0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Current account balance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7.2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5.5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6.2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6.1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6360" w:type="dxa"/>
                  <w:gridSpan w:val="3"/>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General government accounts (percent of GDP)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Revenue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44.0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44.0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43.8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43.3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Expenditure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46.6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45.0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46.6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45.1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Net lending/borrowing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-2.8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-1.8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Primary balance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-0.9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-3.0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-1.9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Structural balance²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-2.1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-2.4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Structural primary balance²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2.2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0.6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-1.6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-1.9 </w:t>
                  </w:r>
                </w:p>
              </w:tc>
            </w:tr>
            <w:tr w:rsidR="003F1F06" w:rsidRPr="00ED37FB" w:rsidTr="00DA22C0">
              <w:tc>
                <w:tcPr>
                  <w:tcW w:w="4650" w:type="dxa"/>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General government gross debt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52.3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48.3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48.5 </w:t>
                  </w:r>
                </w:p>
              </w:tc>
              <w:tc>
                <w:tcPr>
                  <w:tcW w:w="855" w:type="dxa"/>
                  <w:noWrap/>
                  <w:hideMark/>
                </w:tcPr>
                <w:p w:rsidR="003F1F06" w:rsidRPr="00ED37FB" w:rsidRDefault="003F1F06" w:rsidP="00DA22C0">
                  <w:pPr>
                    <w:spacing w:before="100" w:beforeAutospacing="1" w:after="100" w:afterAutospacing="1"/>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47.9 </w:t>
                  </w:r>
                </w:p>
              </w:tc>
            </w:tr>
            <w:tr w:rsidR="003F1F06" w:rsidRPr="00ED37FB" w:rsidTr="00DA22C0">
              <w:tc>
                <w:tcPr>
                  <w:tcW w:w="4650"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8070" w:type="dxa"/>
                  <w:gridSpan w:val="5"/>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Sources: Dutch official publications, IMF, IFS, and IMF staff calculations. </w:t>
                  </w:r>
                </w:p>
              </w:tc>
            </w:tr>
            <w:tr w:rsidR="003F1F06" w:rsidRPr="00ED37FB" w:rsidTr="00DA22C0">
              <w:tc>
                <w:tcPr>
                  <w:tcW w:w="6360" w:type="dxa"/>
                  <w:gridSpan w:val="3"/>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¹ Contribution to GDP growth.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r w:rsidR="003F1F06" w:rsidRPr="00ED37FB" w:rsidTr="00DA22C0">
              <w:tc>
                <w:tcPr>
                  <w:tcW w:w="6360" w:type="dxa"/>
                  <w:gridSpan w:val="3"/>
                  <w:noWrap/>
                  <w:hideMark/>
                </w:tcPr>
                <w:p w:rsidR="003F1F06" w:rsidRPr="00ED37FB" w:rsidRDefault="003F1F06" w:rsidP="00DA22C0">
                  <w:pPr>
                    <w:spacing w:before="100" w:beforeAutospacing="1" w:after="100" w:afterAutospacing="1"/>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xml:space="preserve">² In percent of potential GDP. </w:t>
                  </w: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c>
                <w:tcPr>
                  <w:tcW w:w="855" w:type="dxa"/>
                  <w:noWrap/>
                  <w:hideMark/>
                </w:tcPr>
                <w:p w:rsidR="003F1F06" w:rsidRPr="00ED37FB" w:rsidRDefault="003F1F06" w:rsidP="00DA22C0">
                  <w:pPr>
                    <w:rPr>
                      <w:rFonts w:ascii="Times New Roman" w:eastAsia="Times New Roman" w:hAnsi="Times New Roman" w:cs="Times New Roman"/>
                      <w:sz w:val="24"/>
                      <w:szCs w:val="24"/>
                      <w:lang w:eastAsia="en-IN"/>
                    </w:rPr>
                  </w:pPr>
                </w:p>
              </w:tc>
            </w:tr>
          </w:tbl>
          <w:p w:rsidR="003F1F06" w:rsidRPr="00ED37FB" w:rsidRDefault="003F1F06" w:rsidP="00DA22C0">
            <w:pPr>
              <w:jc w:val="center"/>
              <w:rPr>
                <w:rFonts w:ascii="Times New Roman" w:eastAsia="Times New Roman" w:hAnsi="Times New Roman" w:cs="Times New Roman"/>
                <w:sz w:val="24"/>
                <w:szCs w:val="24"/>
                <w:lang w:eastAsia="en-IN"/>
              </w:rPr>
            </w:pPr>
          </w:p>
        </w:tc>
      </w:tr>
    </w:tbl>
    <w:p w:rsidR="003F1F06" w:rsidRPr="00ED37FB" w:rsidRDefault="003F1F06" w:rsidP="003F1F06">
      <w:pPr>
        <w:spacing w:before="100" w:beforeAutospacing="1" w:after="100" w:afterAutospacing="1" w:line="240" w:lineRule="auto"/>
        <w:outlineLvl w:val="1"/>
        <w:rPr>
          <w:rFonts w:ascii="Times New Roman" w:eastAsia="Times New Roman" w:hAnsi="Times New Roman" w:cs="Times New Roman"/>
          <w:color w:val="FF0000"/>
          <w:sz w:val="24"/>
          <w:szCs w:val="24"/>
          <w:lang w:eastAsia="en-IN"/>
        </w:rPr>
      </w:pPr>
      <w:r w:rsidRPr="00ED37FB">
        <w:rPr>
          <w:rFonts w:ascii="Times New Roman" w:hAnsi="Times New Roman" w:cs="Times New Roman"/>
          <w:sz w:val="24"/>
          <w:szCs w:val="24"/>
        </w:rPr>
        <w:t>Sources:</w:t>
      </w:r>
      <w:r w:rsidRPr="00ED37FB">
        <w:rPr>
          <w:rFonts w:ascii="Times New Roman" w:hAnsi="Times New Roman" w:cs="Times New Roman"/>
          <w:color w:val="FF0000"/>
          <w:sz w:val="24"/>
          <w:szCs w:val="24"/>
        </w:rPr>
        <w:t xml:space="preserve"> </w:t>
      </w:r>
      <w:r w:rsidRPr="00ED37FB">
        <w:rPr>
          <w:rFonts w:ascii="Times New Roman" w:eastAsia="Times New Roman" w:hAnsi="Times New Roman" w:cs="Times New Roman"/>
          <w:bCs/>
          <w:sz w:val="24"/>
          <w:szCs w:val="24"/>
          <w:lang w:eastAsia="en-IN"/>
        </w:rPr>
        <w:t xml:space="preserve">IMF Executive Board Concludes 2022 Article IV Consultation with the Netherlands </w:t>
      </w:r>
      <w:r w:rsidRPr="00ED37FB">
        <w:rPr>
          <w:rFonts w:ascii="Times New Roman" w:eastAsia="Times New Roman" w:hAnsi="Times New Roman" w:cs="Times New Roman"/>
          <w:sz w:val="24"/>
          <w:szCs w:val="24"/>
          <w:lang w:eastAsia="en-IN"/>
        </w:rPr>
        <w:t>March 9, 2023.</w:t>
      </w:r>
    </w:p>
    <w:p w:rsidR="003F1F06" w:rsidRPr="00ED37FB" w:rsidRDefault="003F1F06" w:rsidP="003F1F06">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p w:rsidR="003F1F06" w:rsidRPr="00ED37FB" w:rsidRDefault="003F1F06" w:rsidP="003F1F06">
      <w:pPr>
        <w:spacing w:before="100" w:beforeAutospacing="1" w:after="100" w:afterAutospacing="1" w:line="240" w:lineRule="auto"/>
        <w:outlineLvl w:val="1"/>
        <w:rPr>
          <w:rFonts w:ascii="Times New Roman" w:eastAsia="Times New Roman" w:hAnsi="Times New Roman" w:cs="Times New Roman"/>
          <w:b/>
          <w:color w:val="FF0000"/>
          <w:sz w:val="24"/>
          <w:szCs w:val="24"/>
          <w:lang w:eastAsia="en-IN"/>
        </w:rPr>
      </w:pPr>
    </w:p>
    <w:tbl>
      <w:tblPr>
        <w:tblW w:w="10850" w:type="dxa"/>
        <w:tblInd w:w="-34" w:type="dxa"/>
        <w:tblLayout w:type="fixed"/>
        <w:tblLook w:val="04A0"/>
      </w:tblPr>
      <w:tblGrid>
        <w:gridCol w:w="1276"/>
        <w:gridCol w:w="121"/>
        <w:gridCol w:w="21"/>
        <w:gridCol w:w="215"/>
        <w:gridCol w:w="636"/>
        <w:gridCol w:w="684"/>
        <w:gridCol w:w="533"/>
        <w:gridCol w:w="439"/>
        <w:gridCol w:w="66"/>
        <w:gridCol w:w="1236"/>
        <w:gridCol w:w="140"/>
        <w:gridCol w:w="1278"/>
        <w:gridCol w:w="71"/>
        <w:gridCol w:w="1116"/>
        <w:gridCol w:w="230"/>
        <w:gridCol w:w="1349"/>
        <w:gridCol w:w="77"/>
        <w:gridCol w:w="1099"/>
        <w:gridCol w:w="236"/>
        <w:gridCol w:w="27"/>
      </w:tblGrid>
      <w:tr w:rsidR="003F1F06" w:rsidRPr="00ED37FB" w:rsidTr="00DA22C0">
        <w:trPr>
          <w:trHeight w:val="315"/>
        </w:trPr>
        <w:tc>
          <w:tcPr>
            <w:tcW w:w="1397"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hAnsi="Times New Roman" w:cs="Times New Roman"/>
                <w:sz w:val="24"/>
                <w:szCs w:val="24"/>
              </w:rPr>
            </w:pPr>
            <w:bookmarkStart w:id="1" w:name="RANGE!A2:I23"/>
            <w:bookmarkEnd w:id="1"/>
          </w:p>
        </w:tc>
        <w:tc>
          <w:tcPr>
            <w:tcW w:w="23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hAnsi="Times New Roman" w:cs="Times New Roman"/>
                <w:sz w:val="24"/>
                <w:szCs w:val="24"/>
              </w:rPr>
            </w:pPr>
          </w:p>
        </w:tc>
        <w:tc>
          <w:tcPr>
            <w:tcW w:w="1853"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hAnsi="Times New Roman" w:cs="Times New Roman"/>
                <w:sz w:val="24"/>
                <w:szCs w:val="24"/>
              </w:rPr>
            </w:pPr>
          </w:p>
        </w:tc>
        <w:tc>
          <w:tcPr>
            <w:tcW w:w="7101" w:type="dxa"/>
            <w:gridSpan w:val="11"/>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right"/>
              <w:rPr>
                <w:rFonts w:ascii="Times New Roman" w:hAnsi="Times New Roman" w:cs="Times New Roman"/>
                <w:b/>
                <w:bCs/>
                <w:sz w:val="24"/>
                <w:szCs w:val="24"/>
                <w:u w:val="single"/>
              </w:rPr>
            </w:pPr>
            <w:r w:rsidRPr="00ED37FB">
              <w:rPr>
                <w:rFonts w:ascii="Times New Roman" w:hAnsi="Times New Roman" w:cs="Times New Roman"/>
                <w:b/>
                <w:bCs/>
                <w:u w:val="single"/>
              </w:rPr>
              <w:t xml:space="preserve">Annexure-II </w:t>
            </w:r>
          </w:p>
        </w:tc>
        <w:tc>
          <w:tcPr>
            <w:tcW w:w="263"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hAnsi="Times New Roman" w:cs="Times New Roman"/>
                <w:sz w:val="24"/>
                <w:szCs w:val="24"/>
              </w:rPr>
            </w:pPr>
          </w:p>
        </w:tc>
      </w:tr>
      <w:tr w:rsidR="003F1F06" w:rsidRPr="00ED37FB" w:rsidTr="00DA22C0">
        <w:trPr>
          <w:gridAfter w:val="1"/>
          <w:wAfter w:w="27" w:type="dxa"/>
          <w:trHeight w:val="37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993" w:type="dxa"/>
            <w:gridSpan w:val="4"/>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656" w:type="dxa"/>
            <w:gridSpan w:val="3"/>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720" w:type="dxa"/>
            <w:gridSpan w:val="4"/>
            <w:tcBorders>
              <w:top w:val="nil"/>
              <w:left w:val="nil"/>
              <w:bottom w:val="nil"/>
              <w:right w:val="nil"/>
            </w:tcBorders>
            <w:shd w:val="clear" w:color="auto" w:fill="auto"/>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xml:space="preserve"> TABLE - 1</w:t>
            </w:r>
          </w:p>
        </w:tc>
        <w:tc>
          <w:tcPr>
            <w:tcW w:w="1417" w:type="dxa"/>
            <w:gridSpan w:val="3"/>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993" w:type="dxa"/>
            <w:gridSpan w:val="4"/>
            <w:tcBorders>
              <w:top w:val="nil"/>
              <w:left w:val="nil"/>
              <w:bottom w:val="nil"/>
              <w:right w:val="nil"/>
            </w:tcBorders>
            <w:shd w:val="clear" w:color="auto" w:fill="auto"/>
            <w:vAlign w:val="bottom"/>
            <w:hideMark/>
          </w:tcPr>
          <w:p w:rsidR="003F1F06" w:rsidRPr="00ED37FB" w:rsidRDefault="003F1F06" w:rsidP="00DA22C0">
            <w:pPr>
              <w:spacing w:after="0" w:line="240" w:lineRule="auto"/>
              <w:ind w:left="-443" w:firstLine="443"/>
              <w:rPr>
                <w:rFonts w:ascii="Times New Roman" w:eastAsia="Times New Roman" w:hAnsi="Times New Roman" w:cs="Times New Roman"/>
                <w:sz w:val="24"/>
                <w:szCs w:val="24"/>
                <w:lang w:eastAsia="en-IN"/>
              </w:rPr>
            </w:pPr>
          </w:p>
        </w:tc>
        <w:tc>
          <w:tcPr>
            <w:tcW w:w="1656" w:type="dxa"/>
            <w:gridSpan w:val="3"/>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02" w:type="dxa"/>
            <w:gridSpan w:val="2"/>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8" w:type="dxa"/>
            <w:gridSpan w:val="2"/>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7" w:type="dxa"/>
            <w:gridSpan w:val="3"/>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0823" w:type="dxa"/>
            <w:gridSpan w:val="19"/>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xml:space="preserve">NETHERLAND'S TOTAL EXPORTS AND IMPORTS, VOLUME OF TRADE AND BALANCE </w:t>
            </w:r>
          </w:p>
        </w:tc>
      </w:tr>
      <w:tr w:rsidR="003F1F06" w:rsidRPr="00ED37FB" w:rsidTr="00DA22C0">
        <w:trPr>
          <w:gridAfter w:val="1"/>
          <w:wAfter w:w="27" w:type="dxa"/>
          <w:trHeight w:val="315"/>
        </w:trPr>
        <w:tc>
          <w:tcPr>
            <w:tcW w:w="9488" w:type="dxa"/>
            <w:gridSpan w:val="17"/>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u w:val="single"/>
                <w:lang w:eastAsia="en-IN"/>
              </w:rPr>
            </w:pPr>
            <w:r w:rsidRPr="00ED37FB">
              <w:rPr>
                <w:rFonts w:ascii="Times New Roman" w:eastAsia="Times New Roman" w:hAnsi="Times New Roman" w:cs="Times New Roman"/>
                <w:b/>
                <w:bCs/>
                <w:sz w:val="24"/>
                <w:szCs w:val="24"/>
                <w:lang w:eastAsia="en-IN"/>
              </w:rPr>
              <w:t>OF TRADE BETWEEN  2018 TO 2022</w:t>
            </w:r>
          </w:p>
        </w:tc>
        <w:tc>
          <w:tcPr>
            <w:tcW w:w="109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u w:val="single"/>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u w:val="single"/>
                <w:lang w:eastAsia="en-IN"/>
              </w:rPr>
            </w:pPr>
          </w:p>
        </w:tc>
      </w:tr>
      <w:tr w:rsidR="003F1F06" w:rsidRPr="00ED37FB" w:rsidTr="00DA22C0">
        <w:trPr>
          <w:gridAfter w:val="1"/>
          <w:wAfter w:w="27" w:type="dxa"/>
          <w:trHeight w:val="31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2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09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3942" w:type="dxa"/>
            <w:gridSpan w:val="6"/>
            <w:tcBorders>
              <w:top w:val="nil"/>
              <w:left w:val="nil"/>
              <w:bottom w:val="single" w:sz="4" w:space="0" w:color="auto"/>
              <w:right w:val="nil"/>
            </w:tcBorders>
            <w:shd w:val="clear" w:color="auto" w:fill="auto"/>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(Figures in USD Million)</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00"/>
        </w:trPr>
        <w:tc>
          <w:tcPr>
            <w:tcW w:w="1276" w:type="dxa"/>
            <w:vMerge w:val="restart"/>
            <w:tcBorders>
              <w:top w:val="single" w:sz="4" w:space="0" w:color="auto"/>
              <w:left w:val="single" w:sz="4" w:space="0" w:color="auto"/>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Year</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993" w:type="dxa"/>
            <w:gridSpan w:val="4"/>
            <w:vMerge w:val="restart"/>
            <w:tcBorders>
              <w:top w:val="single" w:sz="4" w:space="0" w:color="auto"/>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Exports</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656" w:type="dxa"/>
            <w:gridSpan w:val="3"/>
            <w:vMerge w:val="restart"/>
            <w:tcBorders>
              <w:top w:val="single" w:sz="4" w:space="0" w:color="auto"/>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Percentage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in</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Exports</w:t>
            </w:r>
          </w:p>
        </w:tc>
        <w:tc>
          <w:tcPr>
            <w:tcW w:w="1302" w:type="dxa"/>
            <w:gridSpan w:val="2"/>
            <w:vMerge w:val="restart"/>
            <w:tcBorders>
              <w:top w:val="single" w:sz="4" w:space="0" w:color="auto"/>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Imports</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418" w:type="dxa"/>
            <w:gridSpan w:val="2"/>
            <w:vMerge w:val="restart"/>
            <w:tcBorders>
              <w:top w:val="single" w:sz="4" w:space="0" w:color="auto"/>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Percentage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in</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Imports</w:t>
            </w:r>
          </w:p>
        </w:tc>
        <w:tc>
          <w:tcPr>
            <w:tcW w:w="1417" w:type="dxa"/>
            <w:gridSpan w:val="3"/>
            <w:vMerge w:val="restart"/>
            <w:tcBorders>
              <w:top w:val="nil"/>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Volume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of</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Trade</w:t>
            </w:r>
          </w:p>
        </w:tc>
        <w:tc>
          <w:tcPr>
            <w:tcW w:w="1349" w:type="dxa"/>
            <w:vMerge w:val="restart"/>
            <w:tcBorders>
              <w:top w:val="nil"/>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Percentage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in</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Vol. of Trade</w:t>
            </w:r>
          </w:p>
        </w:tc>
        <w:tc>
          <w:tcPr>
            <w:tcW w:w="1176" w:type="dxa"/>
            <w:gridSpan w:val="2"/>
            <w:vMerge w:val="restart"/>
            <w:tcBorders>
              <w:top w:val="nil"/>
              <w:left w:val="nil"/>
              <w:right w:val="single" w:sz="4" w:space="0" w:color="auto"/>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Balance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of</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Trade</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vMerge/>
            <w:tcBorders>
              <w:left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993" w:type="dxa"/>
            <w:gridSpan w:val="4"/>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656" w:type="dxa"/>
            <w:gridSpan w:val="3"/>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302" w:type="dxa"/>
            <w:gridSpan w:val="2"/>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418" w:type="dxa"/>
            <w:gridSpan w:val="2"/>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417" w:type="dxa"/>
            <w:gridSpan w:val="3"/>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349" w:type="dxa"/>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176" w:type="dxa"/>
            <w:gridSpan w:val="2"/>
            <w:vMerge/>
            <w:tcBorders>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vMerge/>
            <w:tcBorders>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993" w:type="dxa"/>
            <w:gridSpan w:val="4"/>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656" w:type="dxa"/>
            <w:gridSpan w:val="3"/>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302" w:type="dxa"/>
            <w:gridSpan w:val="2"/>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418" w:type="dxa"/>
            <w:gridSpan w:val="2"/>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417" w:type="dxa"/>
            <w:gridSpan w:val="3"/>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349" w:type="dxa"/>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176" w:type="dxa"/>
            <w:gridSpan w:val="2"/>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2018</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587893</w:t>
            </w:r>
          </w:p>
        </w:tc>
        <w:tc>
          <w:tcPr>
            <w:tcW w:w="1656"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302"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521036</w:t>
            </w:r>
          </w:p>
        </w:tc>
        <w:tc>
          <w:tcPr>
            <w:tcW w:w="1418" w:type="dxa"/>
            <w:gridSpan w:val="2"/>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417"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11,08,929</w:t>
            </w:r>
          </w:p>
        </w:tc>
        <w:tc>
          <w:tcPr>
            <w:tcW w:w="1349"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66857</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2019</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576784</w:t>
            </w:r>
          </w:p>
        </w:tc>
        <w:tc>
          <w:tcPr>
            <w:tcW w:w="1656"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-1.89</w:t>
            </w:r>
          </w:p>
        </w:tc>
        <w:tc>
          <w:tcPr>
            <w:tcW w:w="1302"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514089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-1.33</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10,90,873</w:t>
            </w:r>
          </w:p>
        </w:tc>
        <w:tc>
          <w:tcPr>
            <w:tcW w:w="1349"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-1.63</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62695</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2020</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551353</w:t>
            </w:r>
          </w:p>
        </w:tc>
        <w:tc>
          <w:tcPr>
            <w:tcW w:w="1656"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-4.41</w:t>
            </w:r>
          </w:p>
        </w:tc>
        <w:tc>
          <w:tcPr>
            <w:tcW w:w="1302"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484089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-5.84</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10,35,442</w:t>
            </w:r>
          </w:p>
        </w:tc>
        <w:tc>
          <w:tcPr>
            <w:tcW w:w="1349"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-5.08</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67264</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2021</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696893</w:t>
            </w:r>
          </w:p>
        </w:tc>
        <w:tc>
          <w:tcPr>
            <w:tcW w:w="1656"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26.40</w:t>
            </w:r>
          </w:p>
        </w:tc>
        <w:tc>
          <w:tcPr>
            <w:tcW w:w="1302"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623369</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28.77</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13,20,262</w:t>
            </w:r>
          </w:p>
        </w:tc>
        <w:tc>
          <w:tcPr>
            <w:tcW w:w="1349"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27.51</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73524</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2022</w:t>
            </w:r>
          </w:p>
        </w:tc>
        <w:tc>
          <w:tcPr>
            <w:tcW w:w="993" w:type="dxa"/>
            <w:gridSpan w:val="4"/>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768259</w:t>
            </w:r>
          </w:p>
        </w:tc>
        <w:tc>
          <w:tcPr>
            <w:tcW w:w="1656"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10.24</w:t>
            </w:r>
          </w:p>
        </w:tc>
        <w:tc>
          <w:tcPr>
            <w:tcW w:w="1302"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710772</w:t>
            </w:r>
          </w:p>
        </w:tc>
        <w:tc>
          <w:tcPr>
            <w:tcW w:w="1418"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14.02</w:t>
            </w:r>
          </w:p>
        </w:tc>
        <w:tc>
          <w:tcPr>
            <w:tcW w:w="1417"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14,79,031</w:t>
            </w:r>
          </w:p>
        </w:tc>
        <w:tc>
          <w:tcPr>
            <w:tcW w:w="1349"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12.03</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57487</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Annual</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Compound</w:t>
            </w:r>
          </w:p>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b/>
                <w:bCs/>
                <w:sz w:val="24"/>
                <w:szCs w:val="24"/>
                <w:lang w:eastAsia="en-IN"/>
              </w:rPr>
              <w:t>Growth Rate</w:t>
            </w:r>
          </w:p>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993" w:type="dxa"/>
            <w:gridSpan w:val="4"/>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656" w:type="dxa"/>
            <w:gridSpan w:val="3"/>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b/>
                <w:bCs/>
                <w:sz w:val="24"/>
                <w:szCs w:val="24"/>
                <w:lang w:eastAsia="en-IN"/>
              </w:rPr>
              <w:t>6.92</w:t>
            </w:r>
          </w:p>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302" w:type="dxa"/>
            <w:gridSpan w:val="2"/>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418" w:type="dxa"/>
            <w:gridSpan w:val="2"/>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8.07</w:t>
            </w:r>
          </w:p>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417" w:type="dxa"/>
            <w:gridSpan w:val="3"/>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349" w:type="dxa"/>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7.47</w:t>
            </w:r>
          </w:p>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176" w:type="dxa"/>
            <w:gridSpan w:val="2"/>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993" w:type="dxa"/>
            <w:gridSpan w:val="4"/>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656" w:type="dxa"/>
            <w:gridSpan w:val="3"/>
            <w:vMerge/>
            <w:tcBorders>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tc>
        <w:tc>
          <w:tcPr>
            <w:tcW w:w="1302"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8"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7" w:type="dxa"/>
            <w:gridSpan w:val="3"/>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993" w:type="dxa"/>
            <w:gridSpan w:val="4"/>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656" w:type="dxa"/>
            <w:gridSpan w:val="3"/>
            <w:vMerge/>
            <w:tcBorders>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tc>
        <w:tc>
          <w:tcPr>
            <w:tcW w:w="1302"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8"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7" w:type="dxa"/>
            <w:gridSpan w:val="3"/>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276" w:type="dxa"/>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993" w:type="dxa"/>
            <w:gridSpan w:val="4"/>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656" w:type="dxa"/>
            <w:gridSpan w:val="3"/>
            <w:vMerge/>
            <w:tcBorders>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1302"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418"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417" w:type="dxa"/>
            <w:gridSpan w:val="3"/>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349" w:type="dxa"/>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176" w:type="dxa"/>
            <w:gridSpan w:val="2"/>
            <w:vMerge/>
            <w:tcBorders>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30"/>
        </w:trPr>
        <w:tc>
          <w:tcPr>
            <w:tcW w:w="1276" w:type="dxa"/>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993" w:type="dxa"/>
            <w:gridSpan w:val="4"/>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656" w:type="dxa"/>
            <w:gridSpan w:val="3"/>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tc>
        <w:tc>
          <w:tcPr>
            <w:tcW w:w="1302" w:type="dxa"/>
            <w:gridSpan w:val="2"/>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8" w:type="dxa"/>
            <w:gridSpan w:val="2"/>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7" w:type="dxa"/>
            <w:gridSpan w:val="3"/>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vMerge/>
            <w:tcBorders>
              <w:left w:val="nil"/>
              <w:bottom w:val="single" w:sz="8" w:space="0" w:color="auto"/>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8062" w:type="dxa"/>
            <w:gridSpan w:val="15"/>
            <w:tcBorders>
              <w:top w:val="single" w:sz="8" w:space="0" w:color="auto"/>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sz w:val="24"/>
                <w:szCs w:val="24"/>
                <w:lang w:eastAsia="en-IN"/>
              </w:rPr>
              <w:t>NOTE        :  Figures relate to calendar year (January to December)</w:t>
            </w: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1"/>
          <w:wAfter w:w="27" w:type="dxa"/>
          <w:trHeight w:val="315"/>
        </w:trPr>
        <w:tc>
          <w:tcPr>
            <w:tcW w:w="10587" w:type="dxa"/>
            <w:gridSpan w:val="18"/>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4"/>
                <w:szCs w:val="24"/>
                <w:lang w:eastAsia="en-IN"/>
              </w:rPr>
              <w:t xml:space="preserve">SOURCE   :  UN COMTRADE PUBLICATION </w:t>
            </w: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31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Figure - 1</w:t>
            </w: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noProof/>
                <w:sz w:val="20"/>
                <w:szCs w:val="20"/>
                <w:lang w:eastAsia="en-IN"/>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19050</wp:posOffset>
                  </wp:positionV>
                  <wp:extent cx="4752975" cy="2762250"/>
                  <wp:effectExtent l="0" t="0" r="0" b="0"/>
                  <wp:wrapNone/>
                  <wp:docPr id="541"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tbl>
            <w:tblPr>
              <w:tblW w:w="0" w:type="auto"/>
              <w:tblCellSpacing w:w="0" w:type="dxa"/>
              <w:tblLayout w:type="fixed"/>
              <w:tblCellMar>
                <w:left w:w="0" w:type="dxa"/>
                <w:right w:w="0" w:type="dxa"/>
              </w:tblCellMar>
              <w:tblLook w:val="04A0"/>
            </w:tblPr>
            <w:tblGrid>
              <w:gridCol w:w="1600"/>
            </w:tblGrid>
            <w:tr w:rsidR="003F1F06" w:rsidRPr="00ED37FB" w:rsidTr="00DA22C0">
              <w:trPr>
                <w:trHeight w:val="255"/>
                <w:tblCellSpacing w:w="0" w:type="dxa"/>
              </w:trPr>
              <w:tc>
                <w:tcPr>
                  <w:tcW w:w="1600"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bl>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40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32"/>
                <w:szCs w:val="32"/>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360"/>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360"/>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360"/>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360"/>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i/>
                <w:iCs/>
                <w:sz w:val="28"/>
                <w:szCs w:val="28"/>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1"/>
          <w:wAfter w:w="27" w:type="dxa"/>
          <w:trHeight w:val="255"/>
        </w:trPr>
        <w:tc>
          <w:tcPr>
            <w:tcW w:w="127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3"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656"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02"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8"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417"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349"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3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bookmarkStart w:id="2" w:name="RANGE!A1:H19"/>
            <w:bookmarkEnd w:id="2"/>
          </w:p>
        </w:tc>
        <w:tc>
          <w:tcPr>
            <w:tcW w:w="7993" w:type="dxa"/>
            <w:gridSpan w:val="13"/>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b/>
                <w:bCs/>
                <w:sz w:val="24"/>
                <w:szCs w:val="24"/>
                <w:lang w:eastAsia="en-IN"/>
              </w:rPr>
              <w:t>TABLE - 2</w:t>
            </w: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9411" w:type="dxa"/>
            <w:gridSpan w:val="16"/>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xml:space="preserve">      INDIA'S MERCHANDISE EXPORTS &amp; IMPORTS </w:t>
            </w:r>
            <w:proofErr w:type="spellStart"/>
            <w:r w:rsidRPr="00ED37FB">
              <w:rPr>
                <w:rFonts w:ascii="Times New Roman" w:eastAsia="Times New Roman" w:hAnsi="Times New Roman" w:cs="Times New Roman"/>
                <w:b/>
                <w:bCs/>
                <w:sz w:val="24"/>
                <w:szCs w:val="24"/>
                <w:lang w:eastAsia="en-IN"/>
              </w:rPr>
              <w:t>w.r.t</w:t>
            </w:r>
            <w:proofErr w:type="spellEnd"/>
            <w:r w:rsidRPr="00ED37FB">
              <w:rPr>
                <w:rFonts w:ascii="Times New Roman" w:eastAsia="Times New Roman" w:hAnsi="Times New Roman" w:cs="Times New Roman"/>
                <w:b/>
                <w:bCs/>
                <w:sz w:val="24"/>
                <w:szCs w:val="24"/>
                <w:lang w:eastAsia="en-IN"/>
              </w:rPr>
              <w:t>. NETHERLAND</w:t>
            </w: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i/>
                <w:iCs/>
                <w:sz w:val="24"/>
                <w:szCs w:val="24"/>
                <w:lang w:eastAsia="en-IN"/>
              </w:rPr>
            </w:pPr>
          </w:p>
        </w:tc>
        <w:tc>
          <w:tcPr>
            <w:tcW w:w="6414" w:type="dxa"/>
            <w:gridSpan w:val="11"/>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xml:space="preserve">                        FY 2018-2019 to 2022-2023 </w:t>
            </w: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i/>
                <w:iCs/>
                <w:sz w:val="24"/>
                <w:szCs w:val="24"/>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p>
        </w:tc>
        <w:tc>
          <w:tcPr>
            <w:tcW w:w="5220" w:type="dxa"/>
            <w:gridSpan w:val="7"/>
            <w:tcBorders>
              <w:top w:val="nil"/>
              <w:left w:val="nil"/>
              <w:bottom w:val="single" w:sz="4" w:space="0" w:color="auto"/>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xml:space="preserve">          (Value in USD Million)</w:t>
            </w:r>
          </w:p>
        </w:tc>
      </w:tr>
      <w:tr w:rsidR="003F1F06" w:rsidRPr="00ED37FB" w:rsidTr="00DA22C0">
        <w:trPr>
          <w:gridAfter w:val="2"/>
          <w:wAfter w:w="263" w:type="dxa"/>
          <w:trHeight w:val="1380"/>
        </w:trPr>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Year</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w:t>
            </w:r>
          </w:p>
        </w:tc>
        <w:tc>
          <w:tcPr>
            <w:tcW w:w="15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 xml:space="preserve"> Exports  from India to Netherland</w:t>
            </w:r>
          </w:p>
        </w:tc>
        <w:tc>
          <w:tcPr>
            <w:tcW w:w="1038"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Percentage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in</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Exports</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Imports from Netherland to India</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Percentage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in</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Imports</w:t>
            </w:r>
          </w:p>
        </w:tc>
        <w:tc>
          <w:tcPr>
            <w:tcW w:w="111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Volume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of</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Trade</w:t>
            </w:r>
          </w:p>
        </w:tc>
        <w:tc>
          <w:tcPr>
            <w:tcW w:w="1579" w:type="dxa"/>
            <w:gridSpan w:val="2"/>
            <w:tcBorders>
              <w:top w:val="nil"/>
              <w:left w:val="nil"/>
              <w:bottom w:val="single" w:sz="4" w:space="0" w:color="auto"/>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Percentage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in</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Vol. of Trade</w:t>
            </w:r>
          </w:p>
        </w:tc>
        <w:tc>
          <w:tcPr>
            <w:tcW w:w="117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Balance</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of</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Trade</w:t>
            </w:r>
          </w:p>
        </w:tc>
      </w:tr>
      <w:tr w:rsidR="003F1F06" w:rsidRPr="00ED37FB" w:rsidTr="00DA22C0">
        <w:trPr>
          <w:gridAfter w:val="2"/>
          <w:wAfter w:w="263" w:type="dxa"/>
          <w:trHeight w:val="390"/>
        </w:trPr>
        <w:tc>
          <w:tcPr>
            <w:tcW w:w="141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2018-19</w:t>
            </w:r>
          </w:p>
        </w:tc>
        <w:tc>
          <w:tcPr>
            <w:tcW w:w="1535" w:type="dxa"/>
            <w:gridSpan w:val="3"/>
            <w:tcBorders>
              <w:top w:val="single" w:sz="4" w:space="0" w:color="auto"/>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8814.33</w:t>
            </w:r>
          </w:p>
        </w:tc>
        <w:tc>
          <w:tcPr>
            <w:tcW w:w="103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376" w:type="dxa"/>
            <w:gridSpan w:val="2"/>
            <w:tcBorders>
              <w:top w:val="single" w:sz="4" w:space="0" w:color="auto"/>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4063.39</w:t>
            </w:r>
          </w:p>
        </w:tc>
        <w:tc>
          <w:tcPr>
            <w:tcW w:w="134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11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12877.72</w:t>
            </w:r>
          </w:p>
        </w:tc>
        <w:tc>
          <w:tcPr>
            <w:tcW w:w="1579" w:type="dxa"/>
            <w:gridSpan w:val="2"/>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 </w:t>
            </w:r>
          </w:p>
        </w:tc>
        <w:tc>
          <w:tcPr>
            <w:tcW w:w="1176" w:type="dxa"/>
            <w:gridSpan w:val="2"/>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4750.94</w:t>
            </w:r>
          </w:p>
        </w:tc>
      </w:tr>
      <w:tr w:rsidR="003F1F06" w:rsidRPr="00ED37FB" w:rsidTr="00DA22C0">
        <w:trPr>
          <w:gridAfter w:val="2"/>
          <w:wAfter w:w="263" w:type="dxa"/>
          <w:trHeight w:val="390"/>
        </w:trPr>
        <w:tc>
          <w:tcPr>
            <w:tcW w:w="141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2019-20</w:t>
            </w:r>
          </w:p>
        </w:tc>
        <w:tc>
          <w:tcPr>
            <w:tcW w:w="1535" w:type="dxa"/>
            <w:gridSpan w:val="3"/>
            <w:tcBorders>
              <w:top w:val="nil"/>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8369.19</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-5.05</w:t>
            </w:r>
          </w:p>
        </w:tc>
        <w:tc>
          <w:tcPr>
            <w:tcW w:w="1376" w:type="dxa"/>
            <w:gridSpan w:val="2"/>
            <w:tcBorders>
              <w:top w:val="nil"/>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3390.97</w:t>
            </w:r>
          </w:p>
        </w:tc>
        <w:tc>
          <w:tcPr>
            <w:tcW w:w="1349" w:type="dxa"/>
            <w:gridSpan w:val="2"/>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-16.55</w:t>
            </w:r>
          </w:p>
        </w:tc>
        <w:tc>
          <w:tcPr>
            <w:tcW w:w="111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11760.16</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-8.68</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4978.22</w:t>
            </w:r>
          </w:p>
        </w:tc>
      </w:tr>
      <w:tr w:rsidR="003F1F06" w:rsidRPr="00ED37FB" w:rsidTr="00DA22C0">
        <w:trPr>
          <w:gridAfter w:val="2"/>
          <w:wAfter w:w="263" w:type="dxa"/>
          <w:trHeight w:val="390"/>
        </w:trPr>
        <w:tc>
          <w:tcPr>
            <w:tcW w:w="141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2020-21</w:t>
            </w:r>
          </w:p>
        </w:tc>
        <w:tc>
          <w:tcPr>
            <w:tcW w:w="1535" w:type="dxa"/>
            <w:gridSpan w:val="3"/>
            <w:tcBorders>
              <w:top w:val="nil"/>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6474.56</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-22.64</w:t>
            </w:r>
          </w:p>
        </w:tc>
        <w:tc>
          <w:tcPr>
            <w:tcW w:w="1376" w:type="dxa"/>
            <w:gridSpan w:val="2"/>
            <w:tcBorders>
              <w:top w:val="nil"/>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3317.72</w:t>
            </w:r>
          </w:p>
        </w:tc>
        <w:tc>
          <w:tcPr>
            <w:tcW w:w="1349" w:type="dxa"/>
            <w:gridSpan w:val="2"/>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-2.16</w:t>
            </w:r>
          </w:p>
        </w:tc>
        <w:tc>
          <w:tcPr>
            <w:tcW w:w="111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9792.28</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-16.73</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3156.84</w:t>
            </w:r>
          </w:p>
        </w:tc>
      </w:tr>
      <w:tr w:rsidR="003F1F06" w:rsidRPr="00ED37FB" w:rsidTr="00DA22C0">
        <w:trPr>
          <w:gridAfter w:val="2"/>
          <w:wAfter w:w="263" w:type="dxa"/>
          <w:trHeight w:val="390"/>
        </w:trPr>
        <w:tc>
          <w:tcPr>
            <w:tcW w:w="141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2021-22</w:t>
            </w:r>
          </w:p>
        </w:tc>
        <w:tc>
          <w:tcPr>
            <w:tcW w:w="1535" w:type="dxa"/>
            <w:gridSpan w:val="3"/>
            <w:tcBorders>
              <w:top w:val="nil"/>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12546.55</w:t>
            </w:r>
          </w:p>
        </w:tc>
        <w:tc>
          <w:tcPr>
            <w:tcW w:w="103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93.78</w:t>
            </w:r>
          </w:p>
        </w:tc>
        <w:tc>
          <w:tcPr>
            <w:tcW w:w="1376" w:type="dxa"/>
            <w:gridSpan w:val="2"/>
            <w:tcBorders>
              <w:top w:val="nil"/>
              <w:left w:val="nil"/>
              <w:bottom w:val="single" w:sz="8" w:space="0" w:color="auto"/>
              <w:right w:val="single" w:sz="8"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4478.10</w:t>
            </w:r>
          </w:p>
        </w:tc>
        <w:tc>
          <w:tcPr>
            <w:tcW w:w="1349" w:type="dxa"/>
            <w:gridSpan w:val="2"/>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34.98</w:t>
            </w:r>
          </w:p>
        </w:tc>
        <w:tc>
          <w:tcPr>
            <w:tcW w:w="111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17024.65</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73.86</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8068.45</w:t>
            </w:r>
          </w:p>
        </w:tc>
      </w:tr>
      <w:tr w:rsidR="003F1F06" w:rsidRPr="00ED37FB" w:rsidTr="00DA22C0">
        <w:trPr>
          <w:gridAfter w:val="2"/>
          <w:wAfter w:w="263" w:type="dxa"/>
          <w:trHeight w:val="375"/>
        </w:trPr>
        <w:tc>
          <w:tcPr>
            <w:tcW w:w="1418" w:type="dxa"/>
            <w:gridSpan w:val="3"/>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2022-23</w:t>
            </w:r>
          </w:p>
        </w:tc>
        <w:tc>
          <w:tcPr>
            <w:tcW w:w="1535" w:type="dxa"/>
            <w:gridSpan w:val="3"/>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21620.73</w:t>
            </w:r>
          </w:p>
        </w:tc>
        <w:tc>
          <w:tcPr>
            <w:tcW w:w="1038" w:type="dxa"/>
            <w:gridSpan w:val="3"/>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72.32</w:t>
            </w:r>
          </w:p>
        </w:tc>
        <w:tc>
          <w:tcPr>
            <w:tcW w:w="1376" w:type="dxa"/>
            <w:gridSpan w:val="2"/>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5961.36</w:t>
            </w:r>
          </w:p>
        </w:tc>
        <w:tc>
          <w:tcPr>
            <w:tcW w:w="1349"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33.12</w:t>
            </w:r>
          </w:p>
        </w:tc>
        <w:tc>
          <w:tcPr>
            <w:tcW w:w="111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27582.09</w:t>
            </w:r>
          </w:p>
        </w:tc>
        <w:tc>
          <w:tcPr>
            <w:tcW w:w="1579"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62.01</w:t>
            </w:r>
          </w:p>
        </w:tc>
        <w:tc>
          <w:tcPr>
            <w:tcW w:w="1176" w:type="dxa"/>
            <w:gridSpan w:val="2"/>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sz w:val="24"/>
                <w:szCs w:val="24"/>
                <w:lang w:eastAsia="en-IN"/>
              </w:rPr>
            </w:pPr>
            <w:r w:rsidRPr="00ED37FB">
              <w:rPr>
                <w:rFonts w:ascii="Times New Roman" w:eastAsia="Times New Roman" w:hAnsi="Times New Roman" w:cs="Times New Roman"/>
                <w:sz w:val="24"/>
                <w:szCs w:val="24"/>
                <w:lang w:eastAsia="en-IN"/>
              </w:rPr>
              <w:t>15659.37</w:t>
            </w:r>
          </w:p>
        </w:tc>
      </w:tr>
      <w:tr w:rsidR="003F1F06" w:rsidRPr="00ED37FB" w:rsidTr="00DA22C0">
        <w:trPr>
          <w:gridAfter w:val="2"/>
          <w:wAfter w:w="263" w:type="dxa"/>
          <w:trHeight w:val="1125"/>
        </w:trPr>
        <w:tc>
          <w:tcPr>
            <w:tcW w:w="1418" w:type="dxa"/>
            <w:gridSpan w:val="3"/>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Annual</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Compound</w:t>
            </w:r>
          </w:p>
          <w:p w:rsidR="003F1F06" w:rsidRPr="00ED37FB" w:rsidRDefault="003F1F06" w:rsidP="00DA22C0">
            <w:pPr>
              <w:spacing w:after="0" w:line="240" w:lineRule="auto"/>
              <w:jc w:val="center"/>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Growth Rate</w:t>
            </w:r>
          </w:p>
        </w:tc>
        <w:tc>
          <w:tcPr>
            <w:tcW w:w="1535" w:type="dxa"/>
            <w:gridSpan w:val="3"/>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tc>
        <w:tc>
          <w:tcPr>
            <w:tcW w:w="1038" w:type="dxa"/>
            <w:gridSpan w:val="3"/>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r w:rsidRPr="00ED37FB">
              <w:rPr>
                <w:rFonts w:ascii="Times New Roman" w:eastAsia="Times New Roman" w:hAnsi="Times New Roman" w:cs="Times New Roman"/>
                <w:b/>
                <w:sz w:val="24"/>
                <w:szCs w:val="24"/>
                <w:lang w:eastAsia="en-IN"/>
              </w:rPr>
              <w:t>25.15</w:t>
            </w:r>
          </w:p>
        </w:tc>
        <w:tc>
          <w:tcPr>
            <w:tcW w:w="1376" w:type="dxa"/>
            <w:gridSpan w:val="2"/>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tc>
        <w:tc>
          <w:tcPr>
            <w:tcW w:w="1349" w:type="dxa"/>
            <w:gridSpan w:val="2"/>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r w:rsidRPr="00ED37FB">
              <w:rPr>
                <w:rFonts w:ascii="Times New Roman" w:eastAsia="Times New Roman" w:hAnsi="Times New Roman" w:cs="Times New Roman"/>
                <w:b/>
                <w:sz w:val="24"/>
                <w:szCs w:val="24"/>
                <w:lang w:eastAsia="en-IN"/>
              </w:rPr>
              <w:t>10.06</w:t>
            </w:r>
          </w:p>
        </w:tc>
        <w:tc>
          <w:tcPr>
            <w:tcW w:w="1116" w:type="dxa"/>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tc>
        <w:tc>
          <w:tcPr>
            <w:tcW w:w="1579" w:type="dxa"/>
            <w:gridSpan w:val="2"/>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b/>
                <w:sz w:val="24"/>
                <w:szCs w:val="24"/>
                <w:lang w:eastAsia="en-IN"/>
              </w:rPr>
            </w:pPr>
            <w:r w:rsidRPr="00ED37FB">
              <w:rPr>
                <w:rFonts w:ascii="Times New Roman" w:eastAsia="Times New Roman" w:hAnsi="Times New Roman" w:cs="Times New Roman"/>
                <w:b/>
                <w:sz w:val="24"/>
                <w:szCs w:val="24"/>
                <w:lang w:eastAsia="en-IN"/>
              </w:rPr>
              <w:t>20.98</w:t>
            </w:r>
          </w:p>
        </w:tc>
        <w:tc>
          <w:tcPr>
            <w:tcW w:w="1176" w:type="dxa"/>
            <w:gridSpan w:val="2"/>
            <w:tcBorders>
              <w:top w:val="single" w:sz="4" w:space="0" w:color="auto"/>
              <w:left w:val="nil"/>
              <w:bottom w:val="single" w:sz="4" w:space="0" w:color="auto"/>
              <w:right w:val="nil"/>
            </w:tcBorders>
            <w:shd w:val="clear" w:color="auto" w:fill="auto"/>
            <w:noWrap/>
            <w:hideMark/>
          </w:tcPr>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p w:rsidR="003F1F06" w:rsidRPr="00ED37FB" w:rsidRDefault="003F1F06" w:rsidP="00DA22C0">
            <w:pPr>
              <w:spacing w:after="0" w:line="240" w:lineRule="auto"/>
              <w:jc w:val="center"/>
              <w:rPr>
                <w:rFonts w:ascii="Times New Roman" w:eastAsia="Times New Roman" w:hAnsi="Times New Roman" w:cs="Times New Roman"/>
                <w:sz w:val="24"/>
                <w:szCs w:val="24"/>
                <w:lang w:eastAsia="en-IN"/>
              </w:rPr>
            </w:pPr>
          </w:p>
        </w:tc>
      </w:tr>
      <w:tr w:rsidR="003F1F06" w:rsidRPr="00ED37FB" w:rsidTr="00DA22C0">
        <w:trPr>
          <w:gridAfter w:val="2"/>
          <w:wAfter w:w="263" w:type="dxa"/>
          <w:trHeight w:val="375"/>
        </w:trPr>
        <w:tc>
          <w:tcPr>
            <w:tcW w:w="10587" w:type="dxa"/>
            <w:gridSpan w:val="18"/>
            <w:tcBorders>
              <w:top w:val="single" w:sz="4" w:space="0" w:color="auto"/>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i/>
                <w:iCs/>
                <w:sz w:val="28"/>
                <w:szCs w:val="28"/>
                <w:lang w:eastAsia="en-IN"/>
              </w:rPr>
            </w:pPr>
            <w:r w:rsidRPr="00ED37FB">
              <w:rPr>
                <w:rFonts w:ascii="Times New Roman" w:eastAsia="Times New Roman" w:hAnsi="Times New Roman" w:cs="Times New Roman"/>
                <w:b/>
                <w:bCs/>
                <w:sz w:val="24"/>
                <w:szCs w:val="24"/>
                <w:lang w:eastAsia="en-IN"/>
              </w:rPr>
              <w:t>NOTE        :   Figures relate to Financial Year (April to March)</w:t>
            </w:r>
          </w:p>
        </w:tc>
      </w:tr>
      <w:tr w:rsidR="003F1F06" w:rsidRPr="00ED37FB" w:rsidTr="00DA22C0">
        <w:trPr>
          <w:gridAfter w:val="2"/>
          <w:wAfter w:w="263" w:type="dxa"/>
          <w:trHeight w:val="375"/>
        </w:trPr>
        <w:tc>
          <w:tcPr>
            <w:tcW w:w="3991" w:type="dxa"/>
            <w:gridSpan w:val="9"/>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Source        : DGCI&amp;S, M/o C&amp;I</w:t>
            </w: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4"/>
                <w:szCs w:val="24"/>
                <w:lang w:eastAsia="en-IN"/>
              </w:rPr>
            </w:pPr>
            <w:r w:rsidRPr="00ED37FB">
              <w:rPr>
                <w:rFonts w:ascii="Times New Roman" w:eastAsia="Times New Roman" w:hAnsi="Times New Roman" w:cs="Times New Roman"/>
                <w:b/>
                <w:bCs/>
                <w:sz w:val="24"/>
                <w:szCs w:val="24"/>
                <w:lang w:eastAsia="en-IN"/>
              </w:rPr>
              <w:t>Figure 2</w:t>
            </w: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noProof/>
                <w:sz w:val="20"/>
                <w:szCs w:val="20"/>
                <w:lang w:eastAsia="en-IN"/>
              </w:rPr>
              <w:drawing>
                <wp:anchor distT="0" distB="0" distL="114300" distR="114300" simplePos="0" relativeHeight="251660288" behindDoc="0" locked="0" layoutInCell="1" allowOverlap="1">
                  <wp:simplePos x="0" y="0"/>
                  <wp:positionH relativeFrom="column">
                    <wp:posOffset>219075</wp:posOffset>
                  </wp:positionH>
                  <wp:positionV relativeFrom="paragraph">
                    <wp:posOffset>76200</wp:posOffset>
                  </wp:positionV>
                  <wp:extent cx="6029325" cy="2847975"/>
                  <wp:effectExtent l="19050" t="0" r="9525" b="0"/>
                  <wp:wrapNone/>
                  <wp:docPr id="54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tbl>
            <w:tblPr>
              <w:tblW w:w="0" w:type="auto"/>
              <w:tblCellSpacing w:w="0" w:type="dxa"/>
              <w:tblLayout w:type="fixed"/>
              <w:tblCellMar>
                <w:left w:w="0" w:type="dxa"/>
                <w:right w:w="0" w:type="dxa"/>
              </w:tblCellMar>
              <w:tblLook w:val="04A0"/>
            </w:tblPr>
            <w:tblGrid>
              <w:gridCol w:w="1460"/>
            </w:tblGrid>
            <w:tr w:rsidR="003F1F06" w:rsidRPr="00ED37FB" w:rsidTr="00DA22C0">
              <w:trPr>
                <w:trHeight w:val="375"/>
                <w:tblCellSpacing w:w="0" w:type="dxa"/>
              </w:trPr>
              <w:tc>
                <w:tcPr>
                  <w:tcW w:w="1460"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r>
          </w:tbl>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4"/>
                <w:szCs w:val="24"/>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r w:rsidR="003F1F06" w:rsidRPr="00ED37FB" w:rsidTr="00DA22C0">
        <w:trPr>
          <w:gridAfter w:val="2"/>
          <w:wAfter w:w="263" w:type="dxa"/>
          <w:trHeight w:val="375"/>
        </w:trPr>
        <w:tc>
          <w:tcPr>
            <w:tcW w:w="141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35"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03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34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1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579"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c>
          <w:tcPr>
            <w:tcW w:w="1176" w:type="dxa"/>
            <w:gridSpan w:val="2"/>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8"/>
                <w:szCs w:val="28"/>
                <w:lang w:eastAsia="en-IN"/>
              </w:rPr>
            </w:pPr>
          </w:p>
        </w:tc>
      </w:tr>
    </w:tbl>
    <w:p w:rsidR="003F1F06" w:rsidRDefault="003F1F06" w:rsidP="003F1F06">
      <w:pPr>
        <w:rPr>
          <w:rFonts w:ascii="Times New Roman" w:hAnsi="Times New Roman" w:cs="Times New Roman"/>
          <w:sz w:val="24"/>
          <w:szCs w:val="24"/>
        </w:rPr>
      </w:pPr>
    </w:p>
    <w:p w:rsidR="003F1F06" w:rsidRPr="00ED37FB" w:rsidRDefault="003F1F06" w:rsidP="003F1F06">
      <w:pPr>
        <w:rPr>
          <w:rFonts w:ascii="Times New Roman" w:hAnsi="Times New Roman" w:cs="Times New Roman"/>
          <w:sz w:val="24"/>
          <w:szCs w:val="24"/>
        </w:rPr>
      </w:pPr>
    </w:p>
    <w:tbl>
      <w:tblPr>
        <w:tblW w:w="11199" w:type="dxa"/>
        <w:tblInd w:w="-34" w:type="dxa"/>
        <w:tblLook w:val="04A0"/>
      </w:tblPr>
      <w:tblGrid>
        <w:gridCol w:w="568"/>
        <w:gridCol w:w="2551"/>
        <w:gridCol w:w="992"/>
        <w:gridCol w:w="866"/>
        <w:gridCol w:w="866"/>
        <w:gridCol w:w="966"/>
        <w:gridCol w:w="966"/>
        <w:gridCol w:w="872"/>
        <w:gridCol w:w="851"/>
        <w:gridCol w:w="850"/>
        <w:gridCol w:w="851"/>
      </w:tblGrid>
      <w:tr w:rsidR="003F1F06" w:rsidRPr="00ED37FB" w:rsidTr="00DA22C0">
        <w:trPr>
          <w:trHeight w:val="315"/>
        </w:trPr>
        <w:tc>
          <w:tcPr>
            <w:tcW w:w="56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bookmarkStart w:id="3" w:name="RANGE!A1:K35"/>
            <w:bookmarkEnd w:id="3"/>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698" w:type="dxa"/>
            <w:gridSpan w:val="3"/>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TABLE -3</w:t>
            </w:r>
          </w:p>
        </w:tc>
        <w:tc>
          <w:tcPr>
            <w:tcW w:w="9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7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50"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trHeight w:val="315"/>
        </w:trPr>
        <w:tc>
          <w:tcPr>
            <w:tcW w:w="56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tc>
        <w:tc>
          <w:tcPr>
            <w:tcW w:w="9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i/>
                <w:iCs/>
                <w:sz w:val="20"/>
                <w:szCs w:val="20"/>
                <w:u w:val="single"/>
                <w:lang w:eastAsia="en-IN"/>
              </w:rPr>
            </w:pPr>
          </w:p>
        </w:tc>
        <w:tc>
          <w:tcPr>
            <w:tcW w:w="87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i/>
                <w:iCs/>
                <w:sz w:val="20"/>
                <w:szCs w:val="20"/>
                <w:u w:val="single"/>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50"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trHeight w:val="315"/>
        </w:trPr>
        <w:tc>
          <w:tcPr>
            <w:tcW w:w="56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780" w:type="dxa"/>
            <w:gridSpan w:val="9"/>
            <w:vMerge w:val="restart"/>
            <w:tcBorders>
              <w:top w:val="nil"/>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u w:val="single"/>
                <w:lang w:eastAsia="en-IN"/>
              </w:rPr>
            </w:pPr>
            <w:r w:rsidRPr="00ED37FB">
              <w:rPr>
                <w:rFonts w:ascii="Times New Roman" w:eastAsia="Times New Roman" w:hAnsi="Times New Roman" w:cs="Times New Roman"/>
                <w:b/>
                <w:bCs/>
                <w:lang w:eastAsia="en-IN"/>
              </w:rPr>
              <w:t>INDIA'S MAJOR ITEMS OF MERCHANDISE EXPORTS TO NETHERLAND</w:t>
            </w:r>
          </w:p>
          <w:p w:rsidR="003F1F06" w:rsidRPr="00ED37FB" w:rsidRDefault="003F1F06" w:rsidP="00DA22C0">
            <w:pPr>
              <w:spacing w:after="0" w:line="240" w:lineRule="auto"/>
              <w:rPr>
                <w:rFonts w:ascii="Times New Roman" w:eastAsia="Times New Roman" w:hAnsi="Times New Roman" w:cs="Times New Roman"/>
                <w:u w:val="single"/>
                <w:lang w:eastAsia="en-IN"/>
              </w:rPr>
            </w:pPr>
            <w:r w:rsidRPr="00ED37FB">
              <w:rPr>
                <w:rFonts w:ascii="Times New Roman" w:eastAsia="Times New Roman" w:hAnsi="Times New Roman" w:cs="Times New Roman"/>
                <w:b/>
                <w:bCs/>
                <w:lang w:eastAsia="en-IN"/>
              </w:rPr>
              <w:t xml:space="preserve">                                         2018-2019 TO 2022-2023 AND THEIR GROWTH RATES</w:t>
            </w: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r>
      <w:tr w:rsidR="003F1F06" w:rsidRPr="00ED37FB" w:rsidTr="00DA22C0">
        <w:trPr>
          <w:trHeight w:val="315"/>
        </w:trPr>
        <w:tc>
          <w:tcPr>
            <w:tcW w:w="56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780" w:type="dxa"/>
            <w:gridSpan w:val="9"/>
            <w:vMerge/>
            <w:tcBorders>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u w:val="single"/>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r>
      <w:tr w:rsidR="003F1F06" w:rsidRPr="00ED37FB" w:rsidTr="00DA22C0">
        <w:trPr>
          <w:trHeight w:val="300"/>
        </w:trPr>
        <w:tc>
          <w:tcPr>
            <w:tcW w:w="56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c>
          <w:tcPr>
            <w:tcW w:w="9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c>
          <w:tcPr>
            <w:tcW w:w="3539" w:type="dxa"/>
            <w:gridSpan w:val="4"/>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(Value in USD Million)</w:t>
            </w: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u w:val="single"/>
                <w:lang w:eastAsia="en-IN"/>
              </w:rPr>
            </w:pPr>
          </w:p>
        </w:tc>
      </w:tr>
      <w:tr w:rsidR="003F1F06" w:rsidRPr="00ED37FB" w:rsidTr="00DA22C0">
        <w:trPr>
          <w:trHeight w:val="285"/>
        </w:trPr>
        <w:tc>
          <w:tcPr>
            <w:tcW w:w="568" w:type="dxa"/>
            <w:tcBorders>
              <w:top w:val="single" w:sz="4" w:space="0" w:color="auto"/>
              <w:left w:val="single" w:sz="4" w:space="0" w:color="auto"/>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Sl. No.</w:t>
            </w:r>
          </w:p>
        </w:tc>
        <w:tc>
          <w:tcPr>
            <w:tcW w:w="25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Name of the Merchandise Commodities</w:t>
            </w:r>
          </w:p>
        </w:tc>
        <w:tc>
          <w:tcPr>
            <w:tcW w:w="4656"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xml:space="preserve">                         Value of Exports</w:t>
            </w:r>
          </w:p>
        </w:tc>
        <w:tc>
          <w:tcPr>
            <w:tcW w:w="3424" w:type="dxa"/>
            <w:gridSpan w:val="4"/>
            <w:tcBorders>
              <w:top w:val="single" w:sz="4" w:space="0" w:color="auto"/>
              <w:left w:val="single" w:sz="4" w:space="0" w:color="auto"/>
              <w:bottom w:val="nil"/>
              <w:right w:val="single" w:sz="4" w:space="0" w:color="000000"/>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xml:space="preserve">                      Annual Growth Rates</w:t>
            </w:r>
          </w:p>
        </w:tc>
      </w:tr>
      <w:tr w:rsidR="003F1F06" w:rsidRPr="00ED37FB" w:rsidTr="00DA22C0">
        <w:trPr>
          <w:trHeight w:val="285"/>
        </w:trPr>
        <w:tc>
          <w:tcPr>
            <w:tcW w:w="568" w:type="dxa"/>
            <w:tcBorders>
              <w:top w:val="nil"/>
              <w:left w:val="single" w:sz="4" w:space="0" w:color="auto"/>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nil"/>
              <w:left w:val="single" w:sz="4" w:space="0" w:color="auto"/>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2018-19</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2019-20</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2020-21</w:t>
            </w:r>
          </w:p>
        </w:tc>
        <w:tc>
          <w:tcPr>
            <w:tcW w:w="9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2021-22</w:t>
            </w:r>
          </w:p>
        </w:tc>
        <w:tc>
          <w:tcPr>
            <w:tcW w:w="9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2022-23</w:t>
            </w:r>
          </w:p>
        </w:tc>
        <w:tc>
          <w:tcPr>
            <w:tcW w:w="872" w:type="dxa"/>
            <w:tcBorders>
              <w:top w:val="single" w:sz="4" w:space="0" w:color="auto"/>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19-20 over</w:t>
            </w:r>
          </w:p>
        </w:tc>
        <w:tc>
          <w:tcPr>
            <w:tcW w:w="851" w:type="dxa"/>
            <w:tcBorders>
              <w:top w:val="single" w:sz="4" w:space="0" w:color="auto"/>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20-21 over</w:t>
            </w:r>
          </w:p>
        </w:tc>
        <w:tc>
          <w:tcPr>
            <w:tcW w:w="850" w:type="dxa"/>
            <w:tcBorders>
              <w:top w:val="single" w:sz="4" w:space="0" w:color="auto"/>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21-22 over</w:t>
            </w:r>
          </w:p>
        </w:tc>
        <w:tc>
          <w:tcPr>
            <w:tcW w:w="851" w:type="dxa"/>
            <w:tcBorders>
              <w:top w:val="single" w:sz="4" w:space="0" w:color="auto"/>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22-23 over</w:t>
            </w:r>
          </w:p>
        </w:tc>
      </w:tr>
      <w:tr w:rsidR="003F1F06" w:rsidRPr="00ED37FB" w:rsidTr="00DA22C0">
        <w:trPr>
          <w:trHeight w:val="285"/>
        </w:trPr>
        <w:tc>
          <w:tcPr>
            <w:tcW w:w="568" w:type="dxa"/>
            <w:tcBorders>
              <w:top w:val="nil"/>
              <w:left w:val="single" w:sz="4" w:space="0" w:color="auto"/>
              <w:bottom w:val="single" w:sz="4" w:space="0" w:color="auto"/>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2018-19</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2019-20</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2020-21</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2021-22</w:t>
            </w:r>
          </w:p>
        </w:tc>
      </w:tr>
      <w:tr w:rsidR="003F1F06" w:rsidRPr="00ED37FB" w:rsidTr="00DA22C0">
        <w:trPr>
          <w:trHeight w:val="300"/>
        </w:trPr>
        <w:tc>
          <w:tcPr>
            <w:tcW w:w="56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255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9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9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7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50"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r>
      <w:tr w:rsidR="003F1F06" w:rsidRPr="00ED37FB" w:rsidTr="00DA22C0">
        <w:trPr>
          <w:trHeight w:val="285"/>
        </w:trPr>
        <w:tc>
          <w:tcPr>
            <w:tcW w:w="5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Petroleum Products</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4363.78</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3906.44</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1873.64</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5273.65</w:t>
            </w:r>
          </w:p>
        </w:tc>
        <w:tc>
          <w:tcPr>
            <w:tcW w:w="9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12526.41</w:t>
            </w:r>
          </w:p>
        </w:tc>
        <w:tc>
          <w:tcPr>
            <w:tcW w:w="872"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-10.48</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-52.04</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181.47</w:t>
            </w:r>
          </w:p>
        </w:tc>
        <w:tc>
          <w:tcPr>
            <w:tcW w:w="8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137.53</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Products Of Iron &amp; Steel</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49.51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46.68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28.94</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42.03</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57.94</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Telecom Instruments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184.18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209.09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255.72</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545.35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1254.61</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13.52</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22.30</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113.26</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130.06</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2.09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2.50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3.95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4.35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5.80</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Aluminium, Products Made Of Aluminium</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148.94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70.22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62.74</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434.35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855.90</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-52.85</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-10.65</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592.30</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97.05</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1.69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0.84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0.97</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3.46</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3.96</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Organic Chemicals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264.18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226.27</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273.23</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558.49</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586.97</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-14.35</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20.75</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104.40</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5.10</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3.00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2.70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4.22</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4.45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2.71</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Residual Chemicals And Allied Products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144.36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200.23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163.40</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344.23</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453.20</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38.70</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-18.39</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110.67</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31.66</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1.64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2.39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2.52</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2.74</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2.10</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xml:space="preserve">Drugs Formulations, </w:t>
            </w:r>
            <w:proofErr w:type="spellStart"/>
            <w:r w:rsidRPr="00ED37FB">
              <w:rPr>
                <w:rFonts w:ascii="Times New Roman" w:eastAsia="Times New Roman" w:hAnsi="Times New Roman" w:cs="Times New Roman"/>
                <w:b/>
                <w:bCs/>
                <w:sz w:val="20"/>
                <w:szCs w:val="20"/>
                <w:lang w:eastAsia="en-IN"/>
              </w:rPr>
              <w:t>Biologicals</w:t>
            </w:r>
            <w:proofErr w:type="spellEnd"/>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104.58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204.47</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243.64</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314.51</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449.37</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95.52</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19.16</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29.09</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42.88</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1.19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2.44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3.76</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2.51</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2.08</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RMG Cotton Including Accessories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310.08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280.49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235.18</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347.21</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420.91</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-9.54</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-16.15</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47.64</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21.23</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3.52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3.35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3.63</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2.77</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1.95</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Electronic Instruments</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78.16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80.43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91.15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194.56</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368.45</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2.90</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13.33</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113.45</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89.38</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0.89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0.96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1.41</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1.55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1.70</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Iron And Steel</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168.29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132.34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152.99</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360.58</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346.95</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-21.36</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15.60</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135.69</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-3.78</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1.91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1.58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2.36</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2.87</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1.60</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w:t>
            </w:r>
          </w:p>
        </w:tc>
        <w:tc>
          <w:tcPr>
            <w:tcW w:w="255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Products Of Iron &amp; Steel</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212.95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184.49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168.42</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299.31</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296.27</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-13.36</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-8.71</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77.72</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-1.02</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551"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export</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2.42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2.20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2.60</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2.39</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1.37</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300"/>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25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Total export to NETHERLAND</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8814.33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8369.19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6474.56</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12546.55</w:t>
            </w:r>
          </w:p>
        </w:tc>
        <w:tc>
          <w:tcPr>
            <w:tcW w:w="9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21620.73</w:t>
            </w:r>
          </w:p>
        </w:tc>
        <w:tc>
          <w:tcPr>
            <w:tcW w:w="87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-5.05</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-22.64</w:t>
            </w:r>
          </w:p>
        </w:tc>
        <w:tc>
          <w:tcPr>
            <w:tcW w:w="850"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93.78</w:t>
            </w:r>
          </w:p>
        </w:tc>
        <w:tc>
          <w:tcPr>
            <w:tcW w:w="851"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72.32</w:t>
            </w:r>
          </w:p>
        </w:tc>
      </w:tr>
      <w:tr w:rsidR="003F1F06" w:rsidRPr="00ED37FB" w:rsidTr="00DA22C0">
        <w:trPr>
          <w:trHeight w:val="792"/>
        </w:trPr>
        <w:tc>
          <w:tcPr>
            <w:tcW w:w="11199" w:type="dxa"/>
            <w:gridSpan w:val="11"/>
            <w:tcBorders>
              <w:top w:val="nil"/>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NOTE   :  Figures relate to each Financial Year (April to March)</w:t>
            </w:r>
          </w:p>
          <w:p w:rsidR="003F1F06" w:rsidRPr="00ED37FB" w:rsidRDefault="003F1F06" w:rsidP="00DA22C0">
            <w:pPr>
              <w:spacing w:after="0" w:line="240" w:lineRule="auto"/>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SOURCE :  DGCI&amp;S, M/o C&amp;I</w:t>
            </w:r>
          </w:p>
          <w:p w:rsidR="003F1F06" w:rsidRPr="00ED37FB" w:rsidRDefault="003F1F06" w:rsidP="00DA22C0">
            <w:pPr>
              <w:spacing w:after="0" w:line="240" w:lineRule="auto"/>
              <w:rPr>
                <w:rFonts w:ascii="Times New Roman" w:eastAsia="Times New Roman" w:hAnsi="Times New Roman" w:cs="Times New Roman"/>
                <w:b/>
                <w:bCs/>
                <w:lang w:eastAsia="en-IN"/>
              </w:rPr>
            </w:pPr>
          </w:p>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bl>
    <w:p w:rsidR="003F1F06" w:rsidRDefault="003F1F06" w:rsidP="003F1F06">
      <w:pPr>
        <w:rPr>
          <w:rFonts w:ascii="Times New Roman" w:hAnsi="Times New Roman" w:cs="Times New Roman"/>
          <w:sz w:val="24"/>
          <w:szCs w:val="24"/>
        </w:rPr>
      </w:pPr>
    </w:p>
    <w:p w:rsidR="003F1F06" w:rsidRDefault="003F1F06" w:rsidP="003F1F06">
      <w:pPr>
        <w:rPr>
          <w:rFonts w:ascii="Times New Roman" w:hAnsi="Times New Roman" w:cs="Times New Roman"/>
          <w:sz w:val="24"/>
          <w:szCs w:val="24"/>
        </w:rPr>
      </w:pPr>
    </w:p>
    <w:p w:rsidR="003F1F06" w:rsidRPr="00ED37FB" w:rsidRDefault="003F1F06" w:rsidP="003F1F06">
      <w:pPr>
        <w:rPr>
          <w:rFonts w:ascii="Times New Roman" w:hAnsi="Times New Roman" w:cs="Times New Roman"/>
          <w:sz w:val="24"/>
          <w:szCs w:val="24"/>
        </w:rPr>
      </w:pPr>
    </w:p>
    <w:tbl>
      <w:tblPr>
        <w:tblW w:w="10992" w:type="dxa"/>
        <w:tblInd w:w="93" w:type="dxa"/>
        <w:tblLook w:val="04A0"/>
      </w:tblPr>
      <w:tblGrid>
        <w:gridCol w:w="511"/>
        <w:gridCol w:w="2198"/>
        <w:gridCol w:w="866"/>
        <w:gridCol w:w="866"/>
        <w:gridCol w:w="866"/>
        <w:gridCol w:w="866"/>
        <w:gridCol w:w="866"/>
        <w:gridCol w:w="977"/>
        <w:gridCol w:w="992"/>
        <w:gridCol w:w="992"/>
        <w:gridCol w:w="992"/>
      </w:tblGrid>
      <w:tr w:rsidR="003F1F06" w:rsidRPr="00ED37FB" w:rsidTr="00DA22C0">
        <w:trPr>
          <w:trHeight w:val="315"/>
        </w:trPr>
        <w:tc>
          <w:tcPr>
            <w:tcW w:w="51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9489" w:type="dxa"/>
            <w:gridSpan w:val="9"/>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lang w:eastAsia="en-IN"/>
              </w:rPr>
            </w:pPr>
            <w:r w:rsidRPr="00ED37FB">
              <w:rPr>
                <w:rFonts w:ascii="Times New Roman" w:eastAsia="Times New Roman" w:hAnsi="Times New Roman" w:cs="Times New Roman"/>
                <w:b/>
                <w:bCs/>
                <w:lang w:eastAsia="en-IN"/>
              </w:rPr>
              <w:t>TABLE -4</w:t>
            </w: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trHeight w:val="390"/>
        </w:trPr>
        <w:tc>
          <w:tcPr>
            <w:tcW w:w="10992" w:type="dxa"/>
            <w:gridSpan w:val="11"/>
            <w:tcBorders>
              <w:top w:val="nil"/>
              <w:left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lang w:eastAsia="en-IN"/>
              </w:rPr>
            </w:pPr>
          </w:p>
          <w:p w:rsidR="003F1F06" w:rsidRPr="00ED37FB" w:rsidRDefault="003F1F06" w:rsidP="00DA22C0">
            <w:pPr>
              <w:spacing w:after="0" w:line="240" w:lineRule="auto"/>
              <w:jc w:val="center"/>
              <w:rPr>
                <w:rFonts w:ascii="Times New Roman" w:eastAsia="Times New Roman" w:hAnsi="Times New Roman" w:cs="Times New Roman"/>
                <w:lang w:eastAsia="en-IN"/>
              </w:rPr>
            </w:pPr>
            <w:r w:rsidRPr="00ED37FB">
              <w:rPr>
                <w:rFonts w:ascii="Times New Roman" w:eastAsia="Times New Roman" w:hAnsi="Times New Roman" w:cs="Times New Roman"/>
                <w:b/>
                <w:bCs/>
                <w:lang w:eastAsia="en-IN"/>
              </w:rPr>
              <w:t>INDIA'S MAJOR ITEMS OF MERCHANDISE IMPORTS FROM NETHERLAND</w:t>
            </w:r>
          </w:p>
        </w:tc>
      </w:tr>
      <w:tr w:rsidR="003F1F06" w:rsidRPr="00ED37FB" w:rsidTr="00DA22C0">
        <w:trPr>
          <w:trHeight w:val="315"/>
        </w:trPr>
        <w:tc>
          <w:tcPr>
            <w:tcW w:w="51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10481" w:type="dxa"/>
            <w:gridSpan w:val="10"/>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2018-2019 TO 2022-2023 AND THEIR GROWTH RATES</w:t>
            </w:r>
          </w:p>
        </w:tc>
      </w:tr>
      <w:tr w:rsidR="003F1F06" w:rsidRPr="00ED37FB" w:rsidTr="00DA22C0">
        <w:trPr>
          <w:trHeight w:val="315"/>
        </w:trPr>
        <w:tc>
          <w:tcPr>
            <w:tcW w:w="51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2198"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lang w:eastAsia="en-IN"/>
              </w:rPr>
            </w:pPr>
          </w:p>
        </w:tc>
        <w:tc>
          <w:tcPr>
            <w:tcW w:w="5559" w:type="dxa"/>
            <w:gridSpan w:val="6"/>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right"/>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(Value in USD Million)</w:t>
            </w: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p>
        </w:tc>
      </w:tr>
      <w:tr w:rsidR="003F1F06" w:rsidRPr="00ED37FB" w:rsidTr="00DA22C0">
        <w:trPr>
          <w:trHeight w:val="285"/>
        </w:trPr>
        <w:tc>
          <w:tcPr>
            <w:tcW w:w="511" w:type="dxa"/>
            <w:vMerge w:val="restart"/>
            <w:tcBorders>
              <w:top w:val="single" w:sz="4" w:space="0" w:color="auto"/>
              <w:left w:val="single" w:sz="4" w:space="0" w:color="auto"/>
              <w:right w:val="single" w:sz="4" w:space="0" w:color="auto"/>
            </w:tcBorders>
            <w:shd w:val="clear" w:color="auto" w:fill="auto"/>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Sl. No.</w:t>
            </w:r>
          </w:p>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Name of the Merchandise Commodities</w:t>
            </w:r>
          </w:p>
        </w:tc>
        <w:tc>
          <w:tcPr>
            <w:tcW w:w="4330" w:type="dxa"/>
            <w:gridSpan w:val="5"/>
            <w:tcBorders>
              <w:top w:val="single" w:sz="4" w:space="0" w:color="auto"/>
              <w:left w:val="nil"/>
              <w:bottom w:val="single" w:sz="4" w:space="0" w:color="auto"/>
              <w:right w:val="single" w:sz="4" w:space="0" w:color="000000"/>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xml:space="preserve">                         Value of Imports</w:t>
            </w:r>
          </w:p>
        </w:tc>
        <w:tc>
          <w:tcPr>
            <w:tcW w:w="3953" w:type="dxa"/>
            <w:gridSpan w:val="4"/>
            <w:tcBorders>
              <w:top w:val="single" w:sz="4" w:space="0" w:color="auto"/>
              <w:left w:val="single" w:sz="4" w:space="0" w:color="auto"/>
              <w:bottom w:val="nil"/>
              <w:right w:val="single" w:sz="4" w:space="0" w:color="000000"/>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xml:space="preserve">                      Annual Growth Rates</w:t>
            </w:r>
          </w:p>
        </w:tc>
      </w:tr>
      <w:tr w:rsidR="003F1F06" w:rsidRPr="00ED37FB" w:rsidTr="00DA22C0">
        <w:trPr>
          <w:trHeight w:val="285"/>
        </w:trPr>
        <w:tc>
          <w:tcPr>
            <w:tcW w:w="511" w:type="dxa"/>
            <w:vMerge/>
            <w:tcBorders>
              <w:left w:val="single" w:sz="4" w:space="0" w:color="auto"/>
              <w:right w:val="single" w:sz="4" w:space="0" w:color="auto"/>
            </w:tcBorders>
            <w:vAlign w:val="center"/>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2198" w:type="dxa"/>
            <w:vMerge w:val="restart"/>
            <w:tcBorders>
              <w:top w:val="nil"/>
              <w:left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2018-19</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2019-20</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2020-21</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2021-22</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2022-23</w:t>
            </w:r>
          </w:p>
        </w:tc>
        <w:tc>
          <w:tcPr>
            <w:tcW w:w="977" w:type="dxa"/>
            <w:vMerge w:val="restart"/>
            <w:tcBorders>
              <w:top w:val="single" w:sz="4" w:space="0" w:color="auto"/>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19-20 over</w:t>
            </w:r>
          </w:p>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2018-19</w:t>
            </w:r>
          </w:p>
        </w:tc>
        <w:tc>
          <w:tcPr>
            <w:tcW w:w="992" w:type="dxa"/>
            <w:vMerge w:val="restart"/>
            <w:tcBorders>
              <w:top w:val="single" w:sz="4" w:space="0" w:color="auto"/>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20-21 over</w:t>
            </w:r>
          </w:p>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2019-20</w:t>
            </w:r>
          </w:p>
        </w:tc>
        <w:tc>
          <w:tcPr>
            <w:tcW w:w="992" w:type="dxa"/>
            <w:vMerge w:val="restart"/>
            <w:tcBorders>
              <w:top w:val="single" w:sz="4" w:space="0" w:color="auto"/>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21-22 over</w:t>
            </w:r>
          </w:p>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2020-21</w:t>
            </w:r>
          </w:p>
        </w:tc>
        <w:tc>
          <w:tcPr>
            <w:tcW w:w="992" w:type="dxa"/>
            <w:vMerge w:val="restart"/>
            <w:tcBorders>
              <w:top w:val="single" w:sz="4" w:space="0" w:color="auto"/>
              <w:left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22-23 over</w:t>
            </w:r>
          </w:p>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2021-22</w:t>
            </w:r>
          </w:p>
        </w:tc>
      </w:tr>
      <w:tr w:rsidR="003F1F06" w:rsidRPr="00ED37FB" w:rsidTr="00DA22C0">
        <w:trPr>
          <w:trHeight w:val="285"/>
        </w:trPr>
        <w:tc>
          <w:tcPr>
            <w:tcW w:w="511" w:type="dxa"/>
            <w:vMerge/>
            <w:tcBorders>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2198" w:type="dxa"/>
            <w:vMerge/>
            <w:tcBorders>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77" w:type="dxa"/>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992" w:type="dxa"/>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992" w:type="dxa"/>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992" w:type="dxa"/>
            <w:vMerge/>
            <w:tcBorders>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r>
      <w:tr w:rsidR="003F1F06" w:rsidRPr="00ED37FB" w:rsidTr="00DA22C0">
        <w:trPr>
          <w:trHeight w:val="300"/>
        </w:trPr>
        <w:tc>
          <w:tcPr>
            <w:tcW w:w="511"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p>
        </w:tc>
        <w:tc>
          <w:tcPr>
            <w:tcW w:w="2198"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66"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977"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c>
          <w:tcPr>
            <w:tcW w:w="992" w:type="dxa"/>
            <w:tcBorders>
              <w:top w:val="nil"/>
              <w:left w:val="nil"/>
              <w:bottom w:val="nil"/>
              <w:right w:val="nil"/>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p>
        </w:tc>
      </w:tr>
      <w:tr w:rsidR="003F1F06" w:rsidRPr="00ED37FB" w:rsidTr="00DA22C0">
        <w:trPr>
          <w:trHeight w:val="285"/>
        </w:trPr>
        <w:tc>
          <w:tcPr>
            <w:tcW w:w="51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Petroleum Products</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866"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589.22</w:t>
            </w:r>
          </w:p>
        </w:tc>
        <w:tc>
          <w:tcPr>
            <w:tcW w:w="977"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9.88</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Vegetable Oils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28.78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75.29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127.45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266.83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443.30</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161.61</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69.28</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109.36</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66.14</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0.71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2.22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3.84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5.96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7.44</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Iron And Steel</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207.16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201.31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154.25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264.11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312.92</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-2.82</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-23.38</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71.22</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18.48</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5.10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5.94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4.65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5.90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5.25</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Plastic Raw Materials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289.80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235.19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193.91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246.20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295.68</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-18.84</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-17.55</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26.97</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20.10</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7.13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6.94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5.84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5.50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4.96</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Organic Chemicals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295.79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368.96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297.41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300.83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294.28</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24.74</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-19.39</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1.15</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-2.18</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7.28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10.88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8.96</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6.72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4.94</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roofErr w:type="spellStart"/>
            <w:r w:rsidRPr="00ED37FB">
              <w:rPr>
                <w:rFonts w:ascii="Times New Roman" w:eastAsia="Times New Roman" w:hAnsi="Times New Roman" w:cs="Times New Roman"/>
                <w:b/>
                <w:bCs/>
                <w:sz w:val="20"/>
                <w:szCs w:val="20"/>
                <w:lang w:eastAsia="en-IN"/>
              </w:rPr>
              <w:t>Indl</w:t>
            </w:r>
            <w:proofErr w:type="spellEnd"/>
            <w:r w:rsidRPr="00ED37FB">
              <w:rPr>
                <w:rFonts w:ascii="Times New Roman" w:eastAsia="Times New Roman" w:hAnsi="Times New Roman" w:cs="Times New Roman"/>
                <w:b/>
                <w:bCs/>
                <w:sz w:val="20"/>
                <w:szCs w:val="20"/>
                <w:lang w:eastAsia="en-IN"/>
              </w:rPr>
              <w:t>. Machinery For Dairy Etc.</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166.64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194.45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147.43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228.35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276.84</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16.69</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-24.18</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54.89</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21.23</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4.10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5.73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4.44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5.10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4.64</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7</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Medical And Scientific Instruments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232.71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220.04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133.89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190.18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272.87</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-5.44</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-39.15</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42.04</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43.48</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5.73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6.49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4.04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4.25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4.58</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w:t>
            </w:r>
          </w:p>
        </w:tc>
        <w:tc>
          <w:tcPr>
            <w:tcW w:w="2198" w:type="dxa"/>
            <w:tcBorders>
              <w:top w:val="nil"/>
              <w:left w:val="nil"/>
              <w:bottom w:val="nil"/>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Electric Machinery And Equipments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88.52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69.65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130.02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89.62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250.16</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-21.32</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86.68</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-31.07</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179.13</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single" w:sz="4" w:space="0" w:color="auto"/>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2.18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2.05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3.92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2.00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4.20</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9</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Residual Chemical And Allied Products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203.11</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169.09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147.28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202.55</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223.98</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-16.75</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-12.90</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37.53</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10.58</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5.00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4.99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4.44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4.52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3.76</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285"/>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10</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proofErr w:type="spellStart"/>
            <w:r w:rsidRPr="00ED37FB">
              <w:rPr>
                <w:rFonts w:ascii="Times New Roman" w:eastAsia="Times New Roman" w:hAnsi="Times New Roman" w:cs="Times New Roman"/>
                <w:b/>
                <w:bCs/>
                <w:sz w:val="20"/>
                <w:szCs w:val="20"/>
                <w:lang w:eastAsia="en-IN"/>
              </w:rPr>
              <w:t>Electrinic</w:t>
            </w:r>
            <w:proofErr w:type="spellEnd"/>
            <w:r w:rsidRPr="00ED37FB">
              <w:rPr>
                <w:rFonts w:ascii="Times New Roman" w:eastAsia="Times New Roman" w:hAnsi="Times New Roman" w:cs="Times New Roman"/>
                <w:b/>
                <w:bCs/>
                <w:sz w:val="20"/>
                <w:szCs w:val="20"/>
                <w:lang w:eastAsia="en-IN"/>
              </w:rPr>
              <w:t xml:space="preserve"> Instruments</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150.04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144.84</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112.00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153.23</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204.66</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-3.47</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-22.67</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36.81</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33.56</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Share in total import</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3.69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4.27</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3.38</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3.42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3.43</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 </w:t>
            </w:r>
          </w:p>
        </w:tc>
      </w:tr>
      <w:tr w:rsidR="003F1F06" w:rsidRPr="00ED37FB" w:rsidTr="00DA22C0">
        <w:trPr>
          <w:trHeight w:val="300"/>
        </w:trPr>
        <w:tc>
          <w:tcPr>
            <w:tcW w:w="511" w:type="dxa"/>
            <w:tcBorders>
              <w:top w:val="nil"/>
              <w:left w:val="single" w:sz="4" w:space="0" w:color="auto"/>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sz w:val="20"/>
                <w:szCs w:val="20"/>
                <w:lang w:eastAsia="en-IN"/>
              </w:rPr>
              <w:t> </w:t>
            </w:r>
          </w:p>
        </w:tc>
        <w:tc>
          <w:tcPr>
            <w:tcW w:w="2198"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Total import from NETHERLAND</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4063.39</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3390.97</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3317.72</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4478.10</w:t>
            </w:r>
          </w:p>
        </w:tc>
        <w:tc>
          <w:tcPr>
            <w:tcW w:w="866"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5961.36</w:t>
            </w:r>
          </w:p>
        </w:tc>
        <w:tc>
          <w:tcPr>
            <w:tcW w:w="977"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-16.55</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-2.16</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34.98</w:t>
            </w:r>
          </w:p>
        </w:tc>
        <w:tc>
          <w:tcPr>
            <w:tcW w:w="992" w:type="dxa"/>
            <w:tcBorders>
              <w:top w:val="nil"/>
              <w:left w:val="nil"/>
              <w:bottom w:val="single" w:sz="4" w:space="0" w:color="auto"/>
              <w:right w:val="single" w:sz="4" w:space="0" w:color="auto"/>
            </w:tcBorders>
            <w:shd w:val="clear" w:color="auto" w:fill="auto"/>
            <w:noWrap/>
            <w:vAlign w:val="bottom"/>
            <w:hideMark/>
          </w:tcPr>
          <w:p w:rsidR="003F1F06" w:rsidRPr="00ED37FB" w:rsidRDefault="003F1F06" w:rsidP="00DA22C0">
            <w:pPr>
              <w:spacing w:after="0" w:line="240" w:lineRule="auto"/>
              <w:jc w:val="center"/>
              <w:rPr>
                <w:rFonts w:ascii="Times New Roman" w:eastAsia="Times New Roman" w:hAnsi="Times New Roman" w:cs="Times New Roman"/>
                <w:b/>
                <w:bCs/>
                <w:sz w:val="20"/>
                <w:szCs w:val="20"/>
                <w:lang w:eastAsia="en-IN"/>
              </w:rPr>
            </w:pPr>
            <w:r w:rsidRPr="00ED37FB">
              <w:rPr>
                <w:rFonts w:ascii="Times New Roman" w:eastAsia="Times New Roman" w:hAnsi="Times New Roman" w:cs="Times New Roman"/>
                <w:b/>
                <w:bCs/>
                <w:sz w:val="20"/>
                <w:szCs w:val="20"/>
                <w:lang w:eastAsia="en-IN"/>
              </w:rPr>
              <w:t>33.12</w:t>
            </w:r>
          </w:p>
        </w:tc>
      </w:tr>
      <w:tr w:rsidR="003F1F06" w:rsidRPr="00ED37FB" w:rsidTr="00DA22C0">
        <w:trPr>
          <w:trHeight w:val="626"/>
        </w:trPr>
        <w:tc>
          <w:tcPr>
            <w:tcW w:w="10992" w:type="dxa"/>
            <w:gridSpan w:val="11"/>
            <w:tcBorders>
              <w:top w:val="nil"/>
              <w:left w:val="nil"/>
              <w:right w:val="nil"/>
            </w:tcBorders>
            <w:shd w:val="clear" w:color="auto" w:fill="auto"/>
            <w:noWrap/>
            <w:vAlign w:val="bottom"/>
            <w:hideMark/>
          </w:tcPr>
          <w:p w:rsidR="003F1F06" w:rsidRPr="00ED37FB" w:rsidRDefault="003F1F06" w:rsidP="00DA22C0">
            <w:pPr>
              <w:spacing w:after="0" w:line="240" w:lineRule="auto"/>
              <w:rPr>
                <w:rFonts w:ascii="Times New Roman" w:eastAsia="Times New Roman" w:hAnsi="Times New Roman" w:cs="Times New Roman"/>
                <w:b/>
                <w:bCs/>
                <w:lang w:eastAsia="en-IN"/>
              </w:rPr>
            </w:pPr>
            <w:r w:rsidRPr="00ED37FB">
              <w:rPr>
                <w:rFonts w:ascii="Times New Roman" w:eastAsia="Times New Roman" w:hAnsi="Times New Roman" w:cs="Times New Roman"/>
                <w:b/>
                <w:bCs/>
                <w:lang w:eastAsia="en-IN"/>
              </w:rPr>
              <w:t>NOTE   :  Figures relate to each Financial Year (April to March)</w:t>
            </w:r>
          </w:p>
          <w:p w:rsidR="003F1F06" w:rsidRPr="00ED37FB" w:rsidRDefault="003F1F06" w:rsidP="00DA22C0">
            <w:pPr>
              <w:spacing w:after="0" w:line="240" w:lineRule="auto"/>
              <w:rPr>
                <w:rFonts w:ascii="Times New Roman" w:eastAsia="Times New Roman" w:hAnsi="Times New Roman" w:cs="Times New Roman"/>
                <w:sz w:val="20"/>
                <w:szCs w:val="20"/>
                <w:lang w:eastAsia="en-IN"/>
              </w:rPr>
            </w:pPr>
            <w:r w:rsidRPr="00ED37FB">
              <w:rPr>
                <w:rFonts w:ascii="Times New Roman" w:eastAsia="Times New Roman" w:hAnsi="Times New Roman" w:cs="Times New Roman"/>
                <w:b/>
                <w:bCs/>
                <w:lang w:eastAsia="en-IN"/>
              </w:rPr>
              <w:t>SOURCE :  DGCI&amp;S, M/o C&amp;I</w:t>
            </w:r>
          </w:p>
        </w:tc>
      </w:tr>
    </w:tbl>
    <w:p w:rsidR="003F1F06" w:rsidRPr="00ED37FB" w:rsidRDefault="003F1F06" w:rsidP="003F1F06">
      <w:pPr>
        <w:rPr>
          <w:rFonts w:ascii="Times New Roman" w:hAnsi="Times New Roman" w:cs="Times New Roman"/>
          <w:sz w:val="24"/>
          <w:szCs w:val="24"/>
        </w:rPr>
      </w:pPr>
    </w:p>
    <w:p w:rsidR="00A339E6" w:rsidRDefault="00A339E6"/>
    <w:sectPr w:rsidR="00A339E6" w:rsidSect="00465539">
      <w:footerReference w:type="default" r:id="rId8"/>
      <w:pgSz w:w="11906" w:h="16838"/>
      <w:pgMar w:top="851" w:right="707" w:bottom="170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2639"/>
      <w:docPartObj>
        <w:docPartGallery w:val="Page Numbers (Bottom of Page)"/>
        <w:docPartUnique/>
      </w:docPartObj>
    </w:sdtPr>
    <w:sdtEndPr/>
    <w:sdtContent>
      <w:p w:rsidR="00742C56" w:rsidRDefault="003F1F06">
        <w:pPr>
          <w:pStyle w:val="Footer"/>
          <w:jc w:val="right"/>
        </w:pPr>
        <w:r>
          <w:t xml:space="preserve">Page | </w:t>
        </w: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p w:rsidR="00742C56" w:rsidRDefault="003F1F06">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46D0B"/>
    <w:multiLevelType w:val="hybridMultilevel"/>
    <w:tmpl w:val="2CE24B4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C5C7B10"/>
    <w:multiLevelType w:val="hybridMultilevel"/>
    <w:tmpl w:val="FEC8D564"/>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33A615CC"/>
    <w:multiLevelType w:val="hybridMultilevel"/>
    <w:tmpl w:val="72DE4122"/>
    <w:lvl w:ilvl="0" w:tplc="0A4C50C2">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877" w:hanging="360"/>
      </w:pPr>
    </w:lvl>
    <w:lvl w:ilvl="2" w:tplc="0409001B" w:tentative="1">
      <w:start w:val="1"/>
      <w:numFmt w:val="lowerRoman"/>
      <w:lvlText w:val="%3."/>
      <w:lvlJc w:val="right"/>
      <w:pPr>
        <w:ind w:left="1597" w:hanging="180"/>
      </w:pPr>
    </w:lvl>
    <w:lvl w:ilvl="3" w:tplc="0409000F" w:tentative="1">
      <w:start w:val="1"/>
      <w:numFmt w:val="decimal"/>
      <w:lvlText w:val="%4."/>
      <w:lvlJc w:val="left"/>
      <w:pPr>
        <w:ind w:left="2317" w:hanging="360"/>
      </w:pPr>
    </w:lvl>
    <w:lvl w:ilvl="4" w:tplc="04090019" w:tentative="1">
      <w:start w:val="1"/>
      <w:numFmt w:val="lowerLetter"/>
      <w:lvlText w:val="%5."/>
      <w:lvlJc w:val="left"/>
      <w:pPr>
        <w:ind w:left="3037" w:hanging="360"/>
      </w:pPr>
    </w:lvl>
    <w:lvl w:ilvl="5" w:tplc="0409001B" w:tentative="1">
      <w:start w:val="1"/>
      <w:numFmt w:val="lowerRoman"/>
      <w:lvlText w:val="%6."/>
      <w:lvlJc w:val="right"/>
      <w:pPr>
        <w:ind w:left="3757" w:hanging="180"/>
      </w:pPr>
    </w:lvl>
    <w:lvl w:ilvl="6" w:tplc="0409000F" w:tentative="1">
      <w:start w:val="1"/>
      <w:numFmt w:val="decimal"/>
      <w:lvlText w:val="%7."/>
      <w:lvlJc w:val="left"/>
      <w:pPr>
        <w:ind w:left="4477" w:hanging="360"/>
      </w:pPr>
    </w:lvl>
    <w:lvl w:ilvl="7" w:tplc="04090019" w:tentative="1">
      <w:start w:val="1"/>
      <w:numFmt w:val="lowerLetter"/>
      <w:lvlText w:val="%8."/>
      <w:lvlJc w:val="left"/>
      <w:pPr>
        <w:ind w:left="5197" w:hanging="360"/>
      </w:pPr>
    </w:lvl>
    <w:lvl w:ilvl="8" w:tplc="0409001B" w:tentative="1">
      <w:start w:val="1"/>
      <w:numFmt w:val="lowerRoman"/>
      <w:lvlText w:val="%9."/>
      <w:lvlJc w:val="right"/>
      <w:pPr>
        <w:ind w:left="5917" w:hanging="180"/>
      </w:pPr>
    </w:lvl>
  </w:abstractNum>
  <w:abstractNum w:abstractNumId="3">
    <w:nsid w:val="4D9818B3"/>
    <w:multiLevelType w:val="hybridMultilevel"/>
    <w:tmpl w:val="65FE166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4EE74806"/>
    <w:multiLevelType w:val="hybridMultilevel"/>
    <w:tmpl w:val="4BD46AF6"/>
    <w:lvl w:ilvl="0" w:tplc="E62E323A">
      <w:numFmt w:val="bullet"/>
      <w:lvlText w:val=""/>
      <w:lvlJc w:val="left"/>
      <w:pPr>
        <w:ind w:left="1080" w:hanging="360"/>
      </w:pPr>
      <w:rPr>
        <w:rFonts w:ascii="Symbol" w:eastAsia="Times New Roman" w:hAnsi="Symbol"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
    <w:nsid w:val="501037B1"/>
    <w:multiLevelType w:val="multilevel"/>
    <w:tmpl w:val="9744959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AB2C9A"/>
    <w:multiLevelType w:val="multilevel"/>
    <w:tmpl w:val="AE183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69377A"/>
    <w:multiLevelType w:val="hybridMultilevel"/>
    <w:tmpl w:val="1FF43D9E"/>
    <w:lvl w:ilvl="0" w:tplc="40090001">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788D7C0A"/>
    <w:multiLevelType w:val="hybridMultilevel"/>
    <w:tmpl w:val="B192E114"/>
    <w:lvl w:ilvl="0" w:tplc="8DFA391E">
      <w:numFmt w:val="bullet"/>
      <w:lvlText w:val=""/>
      <w:lvlJc w:val="left"/>
      <w:pPr>
        <w:ind w:left="1800" w:hanging="360"/>
      </w:pPr>
      <w:rPr>
        <w:rFonts w:ascii="Symbol" w:eastAsia="Times New Roman" w:hAnsi="Symbol"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abstractNumId w:val="2"/>
  </w:num>
  <w:num w:numId="2">
    <w:abstractNumId w:val="8"/>
  </w:num>
  <w:num w:numId="3">
    <w:abstractNumId w:val="1"/>
  </w:num>
  <w:num w:numId="4">
    <w:abstractNumId w:val="7"/>
  </w:num>
  <w:num w:numId="5">
    <w:abstractNumId w:val="4"/>
  </w:num>
  <w:num w:numId="6">
    <w:abstractNumId w:val="5"/>
  </w:num>
  <w:num w:numId="7">
    <w:abstractNumId w:val="6"/>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F1F06"/>
    <w:rsid w:val="003F1F06"/>
    <w:rsid w:val="00A339E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F06"/>
  </w:style>
  <w:style w:type="paragraph" w:styleId="Heading2">
    <w:name w:val="heading 2"/>
    <w:basedOn w:val="Normal"/>
    <w:link w:val="Heading2Char"/>
    <w:uiPriority w:val="9"/>
    <w:qFormat/>
    <w:rsid w:val="003F1F06"/>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3F1F0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F1F06"/>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semiHidden/>
    <w:rsid w:val="003F1F06"/>
    <w:rPr>
      <w:rFonts w:asciiTheme="majorHAnsi" w:eastAsiaTheme="majorEastAsia" w:hAnsiTheme="majorHAnsi" w:cstheme="majorBidi"/>
      <w:b/>
      <w:bCs/>
      <w:color w:val="4F81BD" w:themeColor="accent1"/>
    </w:rPr>
  </w:style>
  <w:style w:type="paragraph" w:customStyle="1" w:styleId="Date1">
    <w:name w:val="Date1"/>
    <w:basedOn w:val="Normal"/>
    <w:rsid w:val="003F1F06"/>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NormalWeb">
    <w:name w:val="Normal (Web)"/>
    <w:basedOn w:val="Normal"/>
    <w:uiPriority w:val="99"/>
    <w:unhideWhenUsed/>
    <w:rsid w:val="003F1F06"/>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3F1F06"/>
    <w:rPr>
      <w:b/>
      <w:bCs/>
    </w:rPr>
  </w:style>
  <w:style w:type="character" w:styleId="Hyperlink">
    <w:name w:val="Hyperlink"/>
    <w:basedOn w:val="DefaultParagraphFont"/>
    <w:uiPriority w:val="99"/>
    <w:unhideWhenUsed/>
    <w:rsid w:val="003F1F06"/>
    <w:rPr>
      <w:color w:val="0000FF"/>
      <w:u w:val="single"/>
    </w:rPr>
  </w:style>
  <w:style w:type="character" w:customStyle="1" w:styleId="card-exposedtext">
    <w:name w:val="card-exposed__text"/>
    <w:basedOn w:val="DefaultParagraphFont"/>
    <w:rsid w:val="003F1F06"/>
  </w:style>
  <w:style w:type="table" w:styleId="TableGrid">
    <w:name w:val="Table Grid"/>
    <w:basedOn w:val="TableNormal"/>
    <w:uiPriority w:val="59"/>
    <w:rsid w:val="003F1F0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3F1F06"/>
    <w:pPr>
      <w:spacing w:after="0" w:line="240" w:lineRule="auto"/>
      <w:jc w:val="center"/>
    </w:pPr>
    <w:rPr>
      <w:rFonts w:ascii="Times New Roman" w:eastAsia="Times New Roman" w:hAnsi="Times New Roman" w:cs="Times New Roman"/>
      <w:sz w:val="28"/>
      <w:szCs w:val="20"/>
      <w:lang w:val="en-US"/>
    </w:rPr>
  </w:style>
  <w:style w:type="character" w:customStyle="1" w:styleId="TitleChar">
    <w:name w:val="Title Char"/>
    <w:basedOn w:val="DefaultParagraphFont"/>
    <w:link w:val="Title"/>
    <w:rsid w:val="003F1F06"/>
    <w:rPr>
      <w:rFonts w:ascii="Times New Roman" w:eastAsia="Times New Roman" w:hAnsi="Times New Roman" w:cs="Times New Roman"/>
      <w:sz w:val="28"/>
      <w:szCs w:val="20"/>
      <w:lang w:val="en-US"/>
    </w:rPr>
  </w:style>
  <w:style w:type="paragraph" w:styleId="BodyText">
    <w:name w:val="Body Text"/>
    <w:basedOn w:val="Normal"/>
    <w:link w:val="BodyTextChar"/>
    <w:rsid w:val="003F1F06"/>
    <w:pPr>
      <w:spacing w:after="0" w:line="240" w:lineRule="auto"/>
      <w:jc w:val="both"/>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rsid w:val="003F1F06"/>
    <w:rPr>
      <w:rFonts w:ascii="Times New Roman" w:eastAsia="Times New Roman" w:hAnsi="Times New Roman" w:cs="Times New Roman"/>
      <w:sz w:val="24"/>
      <w:szCs w:val="20"/>
      <w:lang w:val="en-US"/>
    </w:rPr>
  </w:style>
  <w:style w:type="character" w:customStyle="1" w:styleId="adr">
    <w:name w:val="adr"/>
    <w:basedOn w:val="DefaultParagraphFont"/>
    <w:rsid w:val="003F1F06"/>
  </w:style>
  <w:style w:type="character" w:customStyle="1" w:styleId="d-inline-block">
    <w:name w:val="d-inline-block"/>
    <w:basedOn w:val="DefaultParagraphFont"/>
    <w:rsid w:val="003F1F06"/>
  </w:style>
  <w:style w:type="paragraph" w:styleId="HTMLAddress">
    <w:name w:val="HTML Address"/>
    <w:basedOn w:val="Normal"/>
    <w:link w:val="HTMLAddressChar"/>
    <w:uiPriority w:val="99"/>
    <w:semiHidden/>
    <w:unhideWhenUsed/>
    <w:rsid w:val="003F1F06"/>
    <w:pPr>
      <w:spacing w:after="0" w:line="240" w:lineRule="auto"/>
    </w:pPr>
    <w:rPr>
      <w:rFonts w:ascii="Times New Roman" w:eastAsia="Times New Roman" w:hAnsi="Times New Roman" w:cs="Times New Roman"/>
      <w:i/>
      <w:iCs/>
      <w:sz w:val="24"/>
      <w:szCs w:val="24"/>
      <w:lang w:val="en-US"/>
    </w:rPr>
  </w:style>
  <w:style w:type="character" w:customStyle="1" w:styleId="HTMLAddressChar">
    <w:name w:val="HTML Address Char"/>
    <w:basedOn w:val="DefaultParagraphFont"/>
    <w:link w:val="HTMLAddress"/>
    <w:uiPriority w:val="99"/>
    <w:semiHidden/>
    <w:rsid w:val="003F1F06"/>
    <w:rPr>
      <w:rFonts w:ascii="Times New Roman" w:eastAsia="Times New Roman" w:hAnsi="Times New Roman" w:cs="Times New Roman"/>
      <w:i/>
      <w:iCs/>
      <w:sz w:val="24"/>
      <w:szCs w:val="24"/>
      <w:lang w:val="en-US"/>
    </w:rPr>
  </w:style>
  <w:style w:type="paragraph" w:styleId="Header">
    <w:name w:val="header"/>
    <w:basedOn w:val="Normal"/>
    <w:link w:val="HeaderChar"/>
    <w:uiPriority w:val="99"/>
    <w:unhideWhenUsed/>
    <w:rsid w:val="003F1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1F06"/>
  </w:style>
  <w:style w:type="paragraph" w:styleId="Footer">
    <w:name w:val="footer"/>
    <w:basedOn w:val="Normal"/>
    <w:link w:val="FooterChar"/>
    <w:uiPriority w:val="99"/>
    <w:unhideWhenUsed/>
    <w:rsid w:val="003F1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1F06"/>
  </w:style>
  <w:style w:type="character" w:styleId="Emphasis">
    <w:name w:val="Emphasis"/>
    <w:basedOn w:val="DefaultParagraphFont"/>
    <w:uiPriority w:val="20"/>
    <w:qFormat/>
    <w:rsid w:val="003F1F06"/>
    <w:rPr>
      <w:i/>
      <w:iCs/>
    </w:rPr>
  </w:style>
  <w:style w:type="paragraph" w:styleId="BalloonText">
    <w:name w:val="Balloon Text"/>
    <w:basedOn w:val="Normal"/>
    <w:link w:val="BalloonTextChar"/>
    <w:uiPriority w:val="99"/>
    <w:semiHidden/>
    <w:unhideWhenUsed/>
    <w:rsid w:val="003F1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1F06"/>
    <w:rPr>
      <w:rFonts w:ascii="Tahoma" w:hAnsi="Tahoma" w:cs="Tahoma"/>
      <w:sz w:val="16"/>
      <w:szCs w:val="16"/>
    </w:rPr>
  </w:style>
  <w:style w:type="character" w:customStyle="1" w:styleId="hgkelc">
    <w:name w:val="hgkelc"/>
    <w:basedOn w:val="DefaultParagraphFont"/>
    <w:rsid w:val="003F1F06"/>
  </w:style>
  <w:style w:type="paragraph" w:styleId="ListParagraph">
    <w:name w:val="List Paragraph"/>
    <w:basedOn w:val="Normal"/>
    <w:uiPriority w:val="34"/>
    <w:qFormat/>
    <w:rsid w:val="003F1F0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hart" Target="charts/chart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1.xml"/><Relationship Id="rId5" Type="http://schemas.openxmlformats.org/officeDocument/2006/relationships/hyperlink" Target="https://en.wikipedia.org/wiki/Indi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rk.karmakar\Desktop\NEW%20NETHERLAND\TABLE%20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rk.karmakar\Desktop\NEW%20NETHERLAND\TABLE%20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Netherland's Exports, Imports and BoT  2018-2022</a:t>
            </a:r>
          </a:p>
        </c:rich>
      </c:tx>
      <c:spPr>
        <a:noFill/>
        <a:ln w="25400">
          <a:noFill/>
        </a:ln>
      </c:spPr>
    </c:title>
    <c:plotArea>
      <c:layout/>
      <c:barChart>
        <c:barDir val="col"/>
        <c:grouping val="clustered"/>
        <c:ser>
          <c:idx val="0"/>
          <c:order val="0"/>
          <c:tx>
            <c:strRef>
              <c:f>Sheet1!$B$8:$B$10</c:f>
              <c:strCache>
                <c:ptCount val="1"/>
                <c:pt idx="0">
                  <c:v>Exports</c:v>
                </c:pt>
              </c:strCache>
            </c:strRef>
          </c:tx>
          <c:spPr>
            <a:solidFill>
              <a:srgbClr val="4F81BD"/>
            </a:solidFill>
            <a:ln w="25400">
              <a:noFill/>
            </a:ln>
          </c:spPr>
          <c:cat>
            <c:numRef>
              <c:f>Sheet1!$A$11:$A$16</c:f>
              <c:numCache>
                <c:formatCode>General</c:formatCode>
                <c:ptCount val="6"/>
                <c:pt idx="1">
                  <c:v>2018</c:v>
                </c:pt>
                <c:pt idx="2">
                  <c:v>2019</c:v>
                </c:pt>
                <c:pt idx="3">
                  <c:v>2020</c:v>
                </c:pt>
                <c:pt idx="4">
                  <c:v>2021</c:v>
                </c:pt>
                <c:pt idx="5">
                  <c:v>2022</c:v>
                </c:pt>
              </c:numCache>
            </c:numRef>
          </c:cat>
          <c:val>
            <c:numRef>
              <c:f>Sheet1!$B$11:$B$16</c:f>
              <c:numCache>
                <c:formatCode>0</c:formatCode>
                <c:ptCount val="6"/>
                <c:pt idx="1">
                  <c:v>587893</c:v>
                </c:pt>
                <c:pt idx="2">
                  <c:v>576784</c:v>
                </c:pt>
                <c:pt idx="3">
                  <c:v>551353</c:v>
                </c:pt>
                <c:pt idx="4">
                  <c:v>696893</c:v>
                </c:pt>
                <c:pt idx="5">
                  <c:v>768259</c:v>
                </c:pt>
              </c:numCache>
            </c:numRef>
          </c:val>
        </c:ser>
        <c:ser>
          <c:idx val="1"/>
          <c:order val="1"/>
          <c:tx>
            <c:strRef>
              <c:f>Sheet1!$D$8:$D$10</c:f>
              <c:strCache>
                <c:ptCount val="1"/>
                <c:pt idx="0">
                  <c:v>Imports</c:v>
                </c:pt>
              </c:strCache>
            </c:strRef>
          </c:tx>
          <c:spPr>
            <a:solidFill>
              <a:srgbClr val="C0504D"/>
            </a:solidFill>
            <a:ln w="25400">
              <a:noFill/>
            </a:ln>
          </c:spPr>
          <c:cat>
            <c:numRef>
              <c:f>Sheet1!$A$11:$A$16</c:f>
              <c:numCache>
                <c:formatCode>General</c:formatCode>
                <c:ptCount val="6"/>
                <c:pt idx="1">
                  <c:v>2018</c:v>
                </c:pt>
                <c:pt idx="2">
                  <c:v>2019</c:v>
                </c:pt>
                <c:pt idx="3">
                  <c:v>2020</c:v>
                </c:pt>
                <c:pt idx="4">
                  <c:v>2021</c:v>
                </c:pt>
                <c:pt idx="5">
                  <c:v>2022</c:v>
                </c:pt>
              </c:numCache>
            </c:numRef>
          </c:cat>
          <c:val>
            <c:numRef>
              <c:f>Sheet1!$D$11:$D$16</c:f>
              <c:numCache>
                <c:formatCode>0</c:formatCode>
                <c:ptCount val="6"/>
                <c:pt idx="1">
                  <c:v>521036</c:v>
                </c:pt>
                <c:pt idx="2">
                  <c:v>514089</c:v>
                </c:pt>
                <c:pt idx="3">
                  <c:v>484089</c:v>
                </c:pt>
                <c:pt idx="4">
                  <c:v>623369</c:v>
                </c:pt>
                <c:pt idx="5">
                  <c:v>710772</c:v>
                </c:pt>
              </c:numCache>
            </c:numRef>
          </c:val>
        </c:ser>
        <c:ser>
          <c:idx val="2"/>
          <c:order val="2"/>
          <c:tx>
            <c:strRef>
              <c:f>Sheet1!$H$8:$H$10</c:f>
              <c:strCache>
                <c:ptCount val="1"/>
                <c:pt idx="0">
                  <c:v>Balance of Trade</c:v>
                </c:pt>
              </c:strCache>
            </c:strRef>
          </c:tx>
          <c:spPr>
            <a:solidFill>
              <a:srgbClr val="9BBB59"/>
            </a:solidFill>
            <a:ln w="25400">
              <a:noFill/>
            </a:ln>
          </c:spPr>
          <c:cat>
            <c:numRef>
              <c:f>Sheet1!$A$11:$A$16</c:f>
              <c:numCache>
                <c:formatCode>General</c:formatCode>
                <c:ptCount val="6"/>
                <c:pt idx="1">
                  <c:v>2018</c:v>
                </c:pt>
                <c:pt idx="2">
                  <c:v>2019</c:v>
                </c:pt>
                <c:pt idx="3">
                  <c:v>2020</c:v>
                </c:pt>
                <c:pt idx="4">
                  <c:v>2021</c:v>
                </c:pt>
                <c:pt idx="5">
                  <c:v>2022</c:v>
                </c:pt>
              </c:numCache>
            </c:numRef>
          </c:cat>
          <c:val>
            <c:numRef>
              <c:f>Sheet1!$H$11:$H$16</c:f>
              <c:numCache>
                <c:formatCode>General</c:formatCode>
                <c:ptCount val="6"/>
                <c:pt idx="1">
                  <c:v>66857</c:v>
                </c:pt>
                <c:pt idx="2">
                  <c:v>62695</c:v>
                </c:pt>
                <c:pt idx="3">
                  <c:v>67264</c:v>
                </c:pt>
                <c:pt idx="4">
                  <c:v>73524</c:v>
                </c:pt>
                <c:pt idx="5">
                  <c:v>57487</c:v>
                </c:pt>
              </c:numCache>
            </c:numRef>
          </c:val>
        </c:ser>
        <c:gapWidth val="219"/>
        <c:overlap val="-27"/>
        <c:axId val="97864320"/>
        <c:axId val="97907456"/>
      </c:barChart>
      <c:catAx>
        <c:axId val="9786432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907456"/>
        <c:crosses val="autoZero"/>
        <c:auto val="1"/>
        <c:lblAlgn val="ctr"/>
        <c:lblOffset val="100"/>
      </c:catAx>
      <c:valAx>
        <c:axId val="97907456"/>
        <c:scaling>
          <c:orientation val="minMax"/>
        </c:scaling>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USD Mln</a:t>
                </a:r>
              </a:p>
            </c:rich>
          </c:tx>
          <c:spPr>
            <a:noFill/>
            <a:ln w="25400">
              <a:noFill/>
            </a:ln>
          </c:spPr>
        </c:title>
        <c:numFmt formatCode="General" sourceLinked="1"/>
        <c:majorTickMark val="none"/>
        <c:tickLblPos val="nextTo"/>
        <c:spPr>
          <a:ln w="9525">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7864320"/>
        <c:crosses val="autoZero"/>
        <c:crossBetween val="between"/>
      </c:valAx>
      <c:spPr>
        <a:noFill/>
        <a:ln w="25400">
          <a:noFill/>
        </a:ln>
      </c:spPr>
    </c:plotArea>
    <c:legend>
      <c:legendPos val="b"/>
      <c:spPr>
        <a:noFill/>
        <a:ln w="25400">
          <a:noFill/>
        </a:ln>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IN"/>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Times New Roman" pitchFamily="18" charset="0"/>
                <a:ea typeface="+mn-ea"/>
                <a:cs typeface="Times New Roman" pitchFamily="18" charset="0"/>
              </a:defRPr>
            </a:pPr>
            <a:r>
              <a:rPr lang="en-US" sz="1000" b="1">
                <a:latin typeface="Times New Roman" pitchFamily="18" charset="0"/>
                <a:cs typeface="Times New Roman" pitchFamily="18" charset="0"/>
              </a:rPr>
              <a:t>India's Exports,</a:t>
            </a:r>
            <a:r>
              <a:rPr lang="en-US" sz="1000" b="1" baseline="0">
                <a:latin typeface="Times New Roman" pitchFamily="18" charset="0"/>
                <a:cs typeface="Times New Roman" pitchFamily="18" charset="0"/>
              </a:rPr>
              <a:t> Imports BoT w.r.t.  Netherland 2018-19 to 2022-23</a:t>
            </a:r>
            <a:endParaRPr lang="en-US" sz="1000" b="1">
              <a:latin typeface="Times New Roman" pitchFamily="18" charset="0"/>
              <a:cs typeface="Times New Roman" pitchFamily="18" charset="0"/>
            </a:endParaRPr>
          </a:p>
        </c:rich>
      </c:tx>
      <c:layout>
        <c:manualLayout>
          <c:xMode val="edge"/>
          <c:yMode val="edge"/>
          <c:x val="0.26680676009001325"/>
          <c:y val="7.9398358033528793E-2"/>
        </c:manualLayout>
      </c:layout>
      <c:spPr>
        <a:noFill/>
        <a:ln w="25400">
          <a:noFill/>
        </a:ln>
      </c:spPr>
    </c:title>
    <c:plotArea>
      <c:layout>
        <c:manualLayout>
          <c:layoutTarget val="inner"/>
          <c:xMode val="edge"/>
          <c:yMode val="edge"/>
          <c:x val="0.20928551573766174"/>
          <c:y val="0.20573443171088796"/>
          <c:w val="0.74258881869020565"/>
          <c:h val="0.65618492128717265"/>
        </c:manualLayout>
      </c:layout>
      <c:barChart>
        <c:barDir val="col"/>
        <c:grouping val="clustered"/>
        <c:ser>
          <c:idx val="0"/>
          <c:order val="0"/>
          <c:tx>
            <c:strRef>
              <c:f>Sheet1!$B$5:$B$7</c:f>
              <c:strCache>
                <c:ptCount val="1"/>
                <c:pt idx="0">
                  <c:v> Exports  from India to Netherland</c:v>
                </c:pt>
              </c:strCache>
            </c:strRef>
          </c:tx>
          <c:spPr>
            <a:solidFill>
              <a:srgbClr val="4F81BD"/>
            </a:solidFill>
            <a:ln w="25400">
              <a:noFill/>
            </a:ln>
          </c:spPr>
          <c:cat>
            <c:strRef>
              <c:f>Sheet1!$A$8:$A$13</c:f>
              <c:strCache>
                <c:ptCount val="6"/>
                <c:pt idx="1">
                  <c:v>2018-19</c:v>
                </c:pt>
                <c:pt idx="2">
                  <c:v>2019-20</c:v>
                </c:pt>
                <c:pt idx="3">
                  <c:v>2020-21</c:v>
                </c:pt>
                <c:pt idx="4">
                  <c:v>2021-22</c:v>
                </c:pt>
                <c:pt idx="5">
                  <c:v>2022-23</c:v>
                </c:pt>
              </c:strCache>
            </c:strRef>
          </c:cat>
          <c:val>
            <c:numRef>
              <c:f>Sheet1!$B$8:$B$13</c:f>
              <c:numCache>
                <c:formatCode>0.00</c:formatCode>
                <c:ptCount val="6"/>
                <c:pt idx="1">
                  <c:v>8814.33</c:v>
                </c:pt>
                <c:pt idx="2">
                  <c:v>8369.19</c:v>
                </c:pt>
                <c:pt idx="3" formatCode="General">
                  <c:v>6474.56</c:v>
                </c:pt>
                <c:pt idx="4">
                  <c:v>12546.55</c:v>
                </c:pt>
                <c:pt idx="5">
                  <c:v>21620.73</c:v>
                </c:pt>
              </c:numCache>
            </c:numRef>
          </c:val>
        </c:ser>
        <c:ser>
          <c:idx val="1"/>
          <c:order val="1"/>
          <c:tx>
            <c:strRef>
              <c:f>Sheet1!$D$5:$D$7</c:f>
              <c:strCache>
                <c:ptCount val="1"/>
                <c:pt idx="0">
                  <c:v>Imports from Netherland to India</c:v>
                </c:pt>
              </c:strCache>
            </c:strRef>
          </c:tx>
          <c:spPr>
            <a:solidFill>
              <a:srgbClr val="C0504D"/>
            </a:solidFill>
            <a:ln w="25400">
              <a:noFill/>
            </a:ln>
          </c:spPr>
          <c:cat>
            <c:strRef>
              <c:f>Sheet1!$A$8:$A$13</c:f>
              <c:strCache>
                <c:ptCount val="6"/>
                <c:pt idx="1">
                  <c:v>2018-19</c:v>
                </c:pt>
                <c:pt idx="2">
                  <c:v>2019-20</c:v>
                </c:pt>
                <c:pt idx="3">
                  <c:v>2020-21</c:v>
                </c:pt>
                <c:pt idx="4">
                  <c:v>2021-22</c:v>
                </c:pt>
                <c:pt idx="5">
                  <c:v>2022-23</c:v>
                </c:pt>
              </c:strCache>
            </c:strRef>
          </c:cat>
          <c:val>
            <c:numRef>
              <c:f>Sheet1!$D$8:$D$13</c:f>
              <c:numCache>
                <c:formatCode>General</c:formatCode>
                <c:ptCount val="6"/>
                <c:pt idx="1">
                  <c:v>4063.3900000000012</c:v>
                </c:pt>
                <c:pt idx="2">
                  <c:v>3390.9700000000012</c:v>
                </c:pt>
                <c:pt idx="3">
                  <c:v>3317.72</c:v>
                </c:pt>
                <c:pt idx="4" formatCode="0.00">
                  <c:v>4478.1000000000004</c:v>
                </c:pt>
                <c:pt idx="5" formatCode="0.00">
                  <c:v>5961.3600000000024</c:v>
                </c:pt>
              </c:numCache>
            </c:numRef>
          </c:val>
        </c:ser>
        <c:ser>
          <c:idx val="2"/>
          <c:order val="2"/>
          <c:tx>
            <c:strRef>
              <c:f>Sheet1!$H$5:$H$7</c:f>
              <c:strCache>
                <c:ptCount val="1"/>
                <c:pt idx="0">
                  <c:v>Balance of Trade</c:v>
                </c:pt>
              </c:strCache>
            </c:strRef>
          </c:tx>
          <c:spPr>
            <a:solidFill>
              <a:srgbClr val="9BBB59"/>
            </a:solidFill>
            <a:ln w="25400">
              <a:noFill/>
            </a:ln>
          </c:spPr>
          <c:cat>
            <c:strRef>
              <c:f>Sheet1!$A$8:$A$13</c:f>
              <c:strCache>
                <c:ptCount val="6"/>
                <c:pt idx="1">
                  <c:v>2018-19</c:v>
                </c:pt>
                <c:pt idx="2">
                  <c:v>2019-20</c:v>
                </c:pt>
                <c:pt idx="3">
                  <c:v>2020-21</c:v>
                </c:pt>
                <c:pt idx="4">
                  <c:v>2021-22</c:v>
                </c:pt>
                <c:pt idx="5">
                  <c:v>2022-23</c:v>
                </c:pt>
              </c:strCache>
            </c:strRef>
          </c:cat>
          <c:val>
            <c:numRef>
              <c:f>Sheet1!$H$8:$H$13</c:f>
              <c:numCache>
                <c:formatCode>0.00</c:formatCode>
                <c:ptCount val="6"/>
                <c:pt idx="1">
                  <c:v>4750.9400000000005</c:v>
                </c:pt>
                <c:pt idx="2">
                  <c:v>4978.2200000000012</c:v>
                </c:pt>
                <c:pt idx="3">
                  <c:v>3156.8400000000006</c:v>
                </c:pt>
                <c:pt idx="4">
                  <c:v>8068.4499999999989</c:v>
                </c:pt>
                <c:pt idx="5">
                  <c:v>15659.369999999975</c:v>
                </c:pt>
              </c:numCache>
            </c:numRef>
          </c:val>
        </c:ser>
        <c:gapWidth val="219"/>
        <c:overlap val="-27"/>
        <c:axId val="112788992"/>
        <c:axId val="112790528"/>
      </c:barChart>
      <c:catAx>
        <c:axId val="112788992"/>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790528"/>
        <c:crosses val="autoZero"/>
        <c:auto val="1"/>
        <c:lblAlgn val="ctr"/>
        <c:lblOffset val="100"/>
      </c:catAx>
      <c:valAx>
        <c:axId val="112790528"/>
        <c:scaling>
          <c:orientation val="minMax"/>
        </c:scaling>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INR Crores</a:t>
                </a:r>
              </a:p>
            </c:rich>
          </c:tx>
          <c:spPr>
            <a:noFill/>
            <a:ln w="25400">
              <a:noFill/>
            </a:ln>
          </c:spPr>
        </c:title>
        <c:numFmt formatCode="General" sourceLinked="1"/>
        <c:majorTickMark val="none"/>
        <c:tickLblPos val="low"/>
        <c:spPr>
          <a:ln w="9525">
            <a:noFill/>
          </a:ln>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12788992"/>
        <c:crosses val="autoZero"/>
        <c:crossBetween val="between"/>
      </c:valAx>
      <c:spPr>
        <a:noFill/>
        <a:ln w="25400">
          <a:noFill/>
        </a:ln>
      </c:spPr>
    </c:plotArea>
    <c:legend>
      <c:legendPos val="b"/>
      <c:layout>
        <c:manualLayout>
          <c:xMode val="edge"/>
          <c:yMode val="edge"/>
          <c:x val="0.22849154156839777"/>
          <c:y val="0.93893121945615465"/>
          <c:w val="0.70545890163095659"/>
          <c:h val="6.1068780543846235E-2"/>
        </c:manualLayout>
      </c:layout>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2135</Words>
  <Characters>12174</Characters>
  <Application>Microsoft Office Word</Application>
  <DocSecurity>0</DocSecurity>
  <Lines>101</Lines>
  <Paragraphs>28</Paragraphs>
  <ScaleCrop>false</ScaleCrop>
  <Company/>
  <LinksUpToDate>false</LinksUpToDate>
  <CharactersWithSpaces>14281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rk.karmakar</dc:creator>
  <cp:lastModifiedBy>rk.karmakar</cp:lastModifiedBy>
  <cp:revision>1</cp:revision>
  <dcterms:created xsi:type="dcterms:W3CDTF">2024-03-27T07:43:00Z</dcterms:created>
  <dcterms:modified xsi:type="dcterms:W3CDTF">2024-03-27T07:45:00Z</dcterms:modified>
</cp:coreProperties>
</file>