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FA35">
      <w:pPr>
        <w:spacing w:before="240"/>
        <w:ind w:firstLine="3060" w:firstLineChars="850"/>
        <w:rPr>
          <w:rFonts w:ascii="Bookman Old Style" w:hAnsi="Bookman Old Style" w:cstheme="minorHAnsi"/>
          <w:sz w:val="36"/>
          <w:szCs w:val="44"/>
          <w:u w:val="single"/>
        </w:rPr>
      </w:pPr>
      <w:r>
        <w:rPr>
          <w:rFonts w:ascii="Bookman Old Style" w:hAnsi="Bookman Old Style" w:cstheme="minorHAnsi"/>
          <w:sz w:val="36"/>
          <w:szCs w:val="44"/>
          <w:u w:val="single"/>
        </w:rPr>
        <w:t>Notification Inviting Tender</w:t>
      </w:r>
    </w:p>
    <w:p w14:paraId="4620BD9D">
      <w:pPr>
        <w:pStyle w:val="6"/>
        <w:ind w:left="1080"/>
        <w:rPr>
          <w:rFonts w:ascii="Bookman Old Style" w:hAnsi="Bookman Old Style" w:cstheme="minorHAnsi"/>
          <w:sz w:val="32"/>
          <w:szCs w:val="40"/>
          <w:u w:val="single"/>
        </w:rPr>
      </w:pPr>
      <w:r>
        <w:rPr>
          <w:rFonts w:ascii="Bookman Old Style" w:hAnsi="Bookman Old Style" w:cstheme="minorHAnsi"/>
          <w:sz w:val="32"/>
          <w:szCs w:val="40"/>
        </w:rPr>
        <w:t xml:space="preserve">                  </w:t>
      </w:r>
      <w:r>
        <w:rPr>
          <w:rFonts w:ascii="Bookman Old Style" w:hAnsi="Bookman Old Style" w:cstheme="minorHAnsi"/>
          <w:sz w:val="32"/>
          <w:szCs w:val="40"/>
          <w:u w:val="single"/>
        </w:rPr>
        <w:t>(Through e-procurement website)</w:t>
      </w:r>
    </w:p>
    <w:tbl>
      <w:tblPr>
        <w:tblStyle w:val="5"/>
        <w:tblpPr w:leftFromText="180" w:rightFromText="180" w:vertAnchor="text" w:horzAnchor="page" w:tblpX="1132" w:tblpY="492"/>
        <w:tblOverlap w:val="never"/>
        <w:tblW w:w="10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5"/>
        <w:gridCol w:w="4660"/>
        <w:gridCol w:w="2174"/>
      </w:tblGrid>
      <w:tr w14:paraId="6328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3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57F0484">
            <w:pPr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</w:rPr>
              <w:t>Tender Enquiry No</w:t>
            </w:r>
          </w:p>
        </w:tc>
        <w:tc>
          <w:tcPr>
            <w:tcW w:w="4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8FD346D">
            <w:pPr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</w:rPr>
              <w:t>Description of work</w:t>
            </w:r>
          </w:p>
        </w:tc>
        <w:tc>
          <w:tcPr>
            <w:tcW w:w="2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447873C">
            <w:pPr>
              <w:spacing w:after="0" w:line="240" w:lineRule="auto"/>
              <w:jc w:val="center"/>
              <w:rPr>
                <w:rFonts w:ascii="Bookman Old Style" w:hAnsi="Bookman Old Style" w:cstheme="minorHAnsi"/>
                <w:b/>
                <w:sz w:val="24"/>
                <w:szCs w:val="24"/>
              </w:rPr>
            </w:pPr>
            <w:r>
              <w:rPr>
                <w:rFonts w:ascii="Bookman Old Style" w:hAnsi="Bookman Old Style" w:cstheme="minorHAnsi"/>
                <w:b/>
                <w:sz w:val="24"/>
                <w:szCs w:val="24"/>
              </w:rPr>
              <w:t>Availability of Bid document</w:t>
            </w:r>
          </w:p>
        </w:tc>
      </w:tr>
      <w:tr w14:paraId="31796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33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EF8DA6">
            <w:pPr>
              <w:spacing w:after="0" w:line="240" w:lineRule="auto"/>
              <w:jc w:val="both"/>
              <w:rPr>
                <w:rFonts w:hint="default" w:ascii="Bookman Old Style" w:hAnsi="Bookman Old Style" w:cstheme="minorHAnsi"/>
                <w:szCs w:val="22"/>
                <w:lang w:val="en-US"/>
              </w:rPr>
            </w:pPr>
            <w:r>
              <w:rPr>
                <w:rFonts w:ascii="Bookman Old Style" w:hAnsi="Bookman Old Style" w:cs="Tunga"/>
                <w:szCs w:val="22"/>
                <w:highlight w:val="none"/>
                <w:lang w:bidi="kn-IN"/>
              </w:rPr>
              <w:t>BESCOM/</w:t>
            </w:r>
            <w:r>
              <w:rPr>
                <w:rFonts w:hint="default" w:ascii="Bookman Old Style" w:hAnsi="Bookman Old Style" w:cs="Tunga"/>
                <w:szCs w:val="22"/>
                <w:highlight w:val="none"/>
                <w:lang w:val="en-US" w:bidi="kn-IN"/>
              </w:rPr>
              <w:t>2025-26/OW/WORK_INDENT997</w:t>
            </w:r>
          </w:p>
        </w:tc>
        <w:tc>
          <w:tcPr>
            <w:tcW w:w="4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12681D">
            <w:pPr>
              <w:spacing w:after="0" w:line="240" w:lineRule="auto"/>
              <w:jc w:val="center"/>
              <w:rPr>
                <w:rFonts w:ascii="Bookman Old Style" w:hAnsi="Bookman Old Style" w:cstheme="minorHAnsi"/>
                <w:sz w:val="20"/>
              </w:rPr>
            </w:pPr>
            <w:r>
              <w:rPr>
                <w:rFonts w:ascii="Bookman Old Style" w:hAnsi="Bookman Old Style" w:eastAsia="Bookman Old Style"/>
                <w:sz w:val="28"/>
              </w:rPr>
              <w:t>“</w:t>
            </w:r>
            <w:r>
              <w:rPr>
                <w:rFonts w:hint="default" w:ascii="Bookman Old Style" w:hAnsi="Bookman Old Style" w:eastAsia="Bookman Old Style"/>
                <w:sz w:val="24"/>
                <w:szCs w:val="18"/>
                <w:lang w:val="en-US"/>
              </w:rPr>
              <w:t xml:space="preserve">Expansion of </w:t>
            </w:r>
            <w:r>
              <w:rPr>
                <w:rFonts w:ascii="Bookman Old Style" w:hAnsi="Bookman Old Style" w:eastAsia="Bookman Old Style"/>
                <w:sz w:val="24"/>
                <w:szCs w:val="18"/>
              </w:rPr>
              <w:t xml:space="preserve"> Distribution Automation System </w:t>
            </w:r>
            <w:r>
              <w:rPr>
                <w:rFonts w:hint="default" w:ascii="Bookman Old Style" w:hAnsi="Bookman Old Style" w:eastAsia="Bookman Old Style"/>
                <w:sz w:val="24"/>
                <w:szCs w:val="18"/>
                <w:lang w:val="en-US"/>
              </w:rPr>
              <w:t xml:space="preserve">to </w:t>
            </w:r>
            <w:r>
              <w:rPr>
                <w:rFonts w:ascii="Bookman Old Style" w:hAnsi="Bookman Old Style" w:eastAsia="Bookman Old Style"/>
                <w:sz w:val="24"/>
                <w:szCs w:val="18"/>
              </w:rPr>
              <w:t>Peri-urban</w:t>
            </w:r>
            <w:r>
              <w:rPr>
                <w:rFonts w:hint="default" w:ascii="Bookman Old Style" w:hAnsi="Bookman Old Style" w:eastAsia="Bookman Old Style"/>
                <w:sz w:val="24"/>
                <w:szCs w:val="18"/>
                <w:lang w:val="en-US"/>
              </w:rPr>
              <w:t xml:space="preserve"> areas of Bengaluru city,</w:t>
            </w:r>
            <w:r>
              <w:rPr>
                <w:rFonts w:ascii="Bookman Old Style" w:hAnsi="Bookman Old Style" w:eastAsia="Bookman Old Style"/>
                <w:sz w:val="24"/>
                <w:szCs w:val="18"/>
              </w:rPr>
              <w:t xml:space="preserve"> District headquarters &amp; </w:t>
            </w:r>
            <w:r>
              <w:rPr>
                <w:rFonts w:hint="default" w:ascii="Bookman Old Style" w:hAnsi="Bookman Old Style" w:eastAsia="Bookman Old Style"/>
                <w:sz w:val="24"/>
                <w:szCs w:val="18"/>
                <w:lang w:val="en-US"/>
              </w:rPr>
              <w:t>I</w:t>
            </w:r>
            <w:r>
              <w:rPr>
                <w:rFonts w:ascii="Bookman Old Style" w:hAnsi="Bookman Old Style" w:eastAsia="Bookman Old Style"/>
                <w:sz w:val="24"/>
                <w:szCs w:val="18"/>
              </w:rPr>
              <w:t>ndustrial areas across BESCOM jurisdiction</w:t>
            </w:r>
            <w:r>
              <w:rPr>
                <w:rFonts w:ascii="Bookman Old Style" w:hAnsi="Bookman Old Style" w:eastAsia="Bookman Old Style"/>
                <w:sz w:val="28"/>
              </w:rPr>
              <w:t>”</w:t>
            </w:r>
          </w:p>
        </w:tc>
        <w:tc>
          <w:tcPr>
            <w:tcW w:w="21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7EA358">
            <w:pPr>
              <w:spacing w:after="0" w:line="240" w:lineRule="auto"/>
              <w:ind w:left="-108"/>
              <w:jc w:val="center"/>
              <w:rPr>
                <w:rFonts w:hint="default" w:ascii="Bookman Old Style" w:hAnsi="Bookman Old Style" w:cstheme="minorHAnsi"/>
                <w:highlight w:val="yellow"/>
                <w:lang w:val="en-US"/>
              </w:rPr>
            </w:pPr>
            <w:r>
              <w:rPr>
                <w:rFonts w:ascii="Bookman Old Style" w:hAnsi="Bookman Old Style" w:cstheme="minorHAnsi"/>
                <w:highlight w:val="none"/>
              </w:rPr>
              <w:t xml:space="preserve"> </w:t>
            </w:r>
            <w:r>
              <w:rPr>
                <w:rFonts w:hint="default" w:ascii="Bookman Old Style" w:hAnsi="Bookman Old Style" w:cstheme="minorHAnsi"/>
                <w:highlight w:val="none"/>
                <w:lang w:val="en-US"/>
              </w:rPr>
              <w:t>On or after 20.02.2026</w:t>
            </w:r>
          </w:p>
        </w:tc>
      </w:tr>
    </w:tbl>
    <w:p w14:paraId="7116FB56">
      <w:pPr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>BESCOM invites Tender for the following work:</w:t>
      </w:r>
    </w:p>
    <w:p w14:paraId="4933B38A">
      <w:pPr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The detailed notification can be obtained from the Website: </w:t>
      </w:r>
      <w:r>
        <w:rPr>
          <w:rStyle w:val="4"/>
          <w:b/>
          <w:bCs/>
        </w:rPr>
        <w:t>https://kppp.karnataka.gov.in</w:t>
      </w:r>
      <w:r>
        <w:rPr>
          <w:rFonts w:ascii="Bookman Old Style" w:hAnsi="Bookman Old Style" w:cstheme="minorHAnsi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Bookman Old Style" w:hAnsi="Bookman Old Style" w:cstheme="minorHAnsi"/>
          <w:sz w:val="24"/>
          <w:szCs w:val="24"/>
        </w:rPr>
        <w:t>Further details can be obtained from the office of the undersigned.</w:t>
      </w:r>
      <w:bookmarkStart w:id="0" w:name="_GoBack"/>
      <w:bookmarkEnd w:id="0"/>
    </w:p>
    <w:p w14:paraId="5F7B86F4">
      <w:pPr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hAnsi="Bookman Old Style" w:cstheme="minorHAnsi"/>
          <w:sz w:val="24"/>
          <w:szCs w:val="24"/>
        </w:rPr>
        <w:t xml:space="preserve">Sd/- </w:t>
      </w:r>
    </w:p>
    <w:p w14:paraId="2D8F5C84">
      <w:pPr>
        <w:jc w:val="both"/>
        <w:rPr>
          <w:rFonts w:ascii="Bookman Old Style" w:hAnsi="Bookman Old Style" w:cstheme="minorHAnsi"/>
          <w:szCs w:val="24"/>
        </w:rPr>
      </w:pPr>
      <w:r>
        <w:rPr>
          <w:rFonts w:ascii="Bookman Old Style" w:hAnsi="Bookman Old Style" w:cstheme="minorHAnsi"/>
          <w:szCs w:val="24"/>
        </w:rPr>
        <w:t xml:space="preserve">The General Manager (DAS), </w:t>
      </w:r>
    </w:p>
    <w:p w14:paraId="1931130A">
      <w:pPr>
        <w:jc w:val="both"/>
        <w:rPr>
          <w:rFonts w:ascii="Bookman Old Style" w:hAnsi="Bookman Old Style" w:cstheme="minorHAnsi"/>
          <w:szCs w:val="24"/>
        </w:rPr>
      </w:pPr>
      <w:r>
        <w:rPr>
          <w:rFonts w:ascii="Bookman Old Style" w:hAnsi="Bookman Old Style" w:cstheme="minorHAnsi"/>
          <w:szCs w:val="24"/>
        </w:rPr>
        <w:t>BICC-1,17</w:t>
      </w:r>
      <w:r>
        <w:rPr>
          <w:rFonts w:ascii="Bookman Old Style" w:hAnsi="Bookman Old Style" w:cstheme="minorHAnsi"/>
          <w:szCs w:val="24"/>
          <w:vertAlign w:val="superscript"/>
        </w:rPr>
        <w:t>th</w:t>
      </w:r>
      <w:r>
        <w:rPr>
          <w:rFonts w:ascii="Bookman Old Style" w:hAnsi="Bookman Old Style" w:cstheme="minorHAnsi"/>
          <w:szCs w:val="24"/>
        </w:rPr>
        <w:t xml:space="preserve"> Cross, 24</w:t>
      </w:r>
      <w:r>
        <w:rPr>
          <w:rFonts w:ascii="Bookman Old Style" w:hAnsi="Bookman Old Style" w:cstheme="minorHAnsi"/>
          <w:szCs w:val="24"/>
          <w:vertAlign w:val="superscript"/>
        </w:rPr>
        <w:t>th</w:t>
      </w:r>
      <w:r>
        <w:rPr>
          <w:rFonts w:ascii="Bookman Old Style" w:hAnsi="Bookman Old Style" w:cstheme="minorHAnsi"/>
          <w:szCs w:val="24"/>
        </w:rPr>
        <w:t xml:space="preserve"> Main, </w:t>
      </w:r>
    </w:p>
    <w:p w14:paraId="20F525F8">
      <w:pPr>
        <w:jc w:val="both"/>
        <w:rPr>
          <w:rFonts w:ascii="Bookman Old Style" w:hAnsi="Bookman Old Style" w:cstheme="minorHAnsi"/>
          <w:szCs w:val="24"/>
        </w:rPr>
      </w:pPr>
      <w:r>
        <w:rPr>
          <w:rFonts w:ascii="Bookman Old Style" w:hAnsi="Bookman Old Style" w:cstheme="minorHAnsi"/>
          <w:szCs w:val="24"/>
        </w:rPr>
        <w:t>HSR Layout 2</w:t>
      </w:r>
      <w:r>
        <w:rPr>
          <w:rFonts w:ascii="Bookman Old Style" w:hAnsi="Bookman Old Style" w:cstheme="minorHAnsi"/>
          <w:szCs w:val="24"/>
          <w:vertAlign w:val="superscript"/>
        </w:rPr>
        <w:t>nd</w:t>
      </w:r>
      <w:r>
        <w:rPr>
          <w:rFonts w:ascii="Bookman Old Style" w:hAnsi="Bookman Old Style" w:cstheme="minorHAnsi"/>
          <w:szCs w:val="24"/>
        </w:rPr>
        <w:t xml:space="preserve"> Sector, Bengaluru-560102.</w:t>
      </w:r>
    </w:p>
    <w:p w14:paraId="7A78A0B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Tunga">
    <w:altName w:val="Segoe Print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17CFA"/>
    <w:rsid w:val="1741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lang w:val="en-US" w:eastAsia="en-US" w:bidi="hi-I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2026-02-23T08:05:00Z</dcterms:created>
  <dc:creator>BICC2</dc:creator>
  <cp:lastModifiedBy>BICC2</cp:lastModifiedBy>
  <dcterms:modified xsi:type="dcterms:W3CDTF">2026-02-23T08:09:17Z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D481945C0EE8490BBC7218144FB97047_11</vt:lpwstr>
  </property>
</Properties>
</file>