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833"/>
      </w:tblGrid>
      <w:tr w:rsidR="004D3A66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/>
            </w:tblPr>
            <w:tblGrid>
              <w:gridCol w:w="1461"/>
              <w:gridCol w:w="8349"/>
            </w:tblGrid>
            <w:tr w:rsidR="003F2735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</w:rPr>
                    <w:drawing>
                      <wp:inline distT="0" distB="0" distL="0" distR="0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एसजेवीएनग्रीनएनर्जीलिमिटेड</w:t>
                  </w:r>
                </w:p>
                <w:p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CIN:U40100HP2022GOI009237 </w:t>
                  </w:r>
                </w:p>
                <w:bookmarkEnd w:id="0"/>
                <w:p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3A1E" w:rsidRPr="00886C1E" w:rsidRDefault="004D3A66" w:rsidP="0028533D">
      <w:pPr>
        <w:tabs>
          <w:tab w:val="left" w:pos="8803"/>
        </w:tabs>
        <w:spacing w:line="300" w:lineRule="auto"/>
        <w:ind w:right="-142" w:hanging="142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bCs/>
          <w:sz w:val="24"/>
          <w:szCs w:val="24"/>
        </w:rPr>
        <w:t>E- Tender No</w:t>
      </w:r>
      <w:r w:rsidRPr="00B55B35">
        <w:rPr>
          <w:rFonts w:ascii="Arial" w:hAnsi="Arial" w:cs="Arial"/>
          <w:b/>
          <w:bCs/>
          <w:sz w:val="24"/>
          <w:szCs w:val="24"/>
        </w:rPr>
        <w:t xml:space="preserve">.: </w:t>
      </w:r>
      <w:r w:rsidR="00BA5A68" w:rsidRPr="00BA5A68">
        <w:rPr>
          <w:rFonts w:ascii="Arial" w:hAnsi="Arial" w:cs="Arial"/>
          <w:b/>
          <w:bCs/>
          <w:color w:val="000000" w:themeColor="text1"/>
        </w:rPr>
        <w:t>SGEL/CHQ/Contracts/PMC-Maharashtra/2024</w:t>
      </w:r>
    </w:p>
    <w:p w:rsidR="004D3A66" w:rsidRDefault="004D3A66" w:rsidP="00EB052C">
      <w:pPr>
        <w:spacing w:after="0" w:line="240" w:lineRule="auto"/>
        <w:jc w:val="both"/>
        <w:rPr>
          <w:rFonts w:ascii="Arial" w:hAnsi="Arial" w:cs="Arial"/>
          <w:b/>
          <w:iCs/>
          <w:shd w:val="clear" w:color="auto" w:fill="FFFFFF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C0365">
        <w:rPr>
          <w:rFonts w:ascii="Arial" w:hAnsi="Arial" w:cs="Arial"/>
          <w:b/>
          <w:iCs/>
          <w:color w:val="000000" w:themeColor="text1"/>
          <w:spacing w:val="1"/>
        </w:rPr>
        <w:t>“</w:t>
      </w:r>
      <w:r w:rsidR="00BA5A68" w:rsidRPr="00BA5A68">
        <w:rPr>
          <w:rFonts w:ascii="Arial" w:hAnsi="Arial" w:cs="Arial"/>
          <w:b/>
          <w:iCs/>
          <w:shd w:val="clear" w:color="auto" w:fill="FFFFFF"/>
        </w:rPr>
        <w:t>Hiring of Project Management Consultant for 1352 MW Solar Power Projects (102 Nos.) Under MSKVY 2.0 (PM Kusum Component-C) in the State of Maharashtra</w:t>
      </w:r>
      <w:r w:rsidR="00EB052C">
        <w:rPr>
          <w:rFonts w:ascii="Arial" w:hAnsi="Arial" w:cs="Arial"/>
          <w:b/>
          <w:iCs/>
          <w:shd w:val="clear" w:color="auto" w:fill="FFFFFF"/>
        </w:rPr>
        <w:t>”.</w:t>
      </w:r>
    </w:p>
    <w:p w:rsidR="00EB052C" w:rsidRDefault="00EB052C" w:rsidP="00EB05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EB052C" w:rsidRPr="0059563E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</w:t>
        </w:r>
      </w:hyperlink>
      <w:r w:rsidR="003737FE" w:rsidRPr="00EB052C">
        <w:rPr>
          <w:rFonts w:ascii="Arial" w:hAnsi="Arial" w:cs="Arial"/>
          <w:i/>
          <w:iCs/>
          <w:sz w:val="24"/>
          <w:szCs w:val="24"/>
        </w:rPr>
        <w:t>,</w:t>
      </w:r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>www.eprocure.gov.in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BA5A68">
        <w:rPr>
          <w:rFonts w:ascii="Arial" w:hAnsi="Arial" w:cs="Arial"/>
          <w:b/>
          <w:bCs/>
          <w:sz w:val="24"/>
          <w:szCs w:val="24"/>
          <w:lang w:val="en-US" w:bidi="hi-IN"/>
        </w:rPr>
        <w:t>11</w:t>
      </w:r>
      <w:r w:rsidR="00261AD9" w:rsidRPr="00BA5A68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BA5A68">
        <w:rPr>
          <w:rFonts w:ascii="Arial" w:hAnsi="Arial" w:cs="Arial"/>
          <w:b/>
          <w:bCs/>
          <w:sz w:val="24"/>
          <w:szCs w:val="24"/>
          <w:lang w:val="en-US" w:bidi="hi-IN"/>
        </w:rPr>
        <w:t>10</w:t>
      </w:r>
      <w:r w:rsidR="007C0365" w:rsidRPr="00BA5A68">
        <w:rPr>
          <w:rFonts w:ascii="Arial" w:hAnsi="Arial" w:cs="Arial"/>
          <w:b/>
          <w:bCs/>
          <w:sz w:val="24"/>
          <w:szCs w:val="24"/>
          <w:lang w:val="en-US" w:bidi="hi-IN"/>
        </w:rPr>
        <w:t>.2024 (14</w:t>
      </w:r>
      <w:r w:rsidR="003737FE" w:rsidRPr="00BA5A68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 w:rsidRPr="00BA5A68">
        <w:rPr>
          <w:rFonts w:ascii="Arial" w:hAnsi="Arial" w:cs="Arial"/>
          <w:b/>
          <w:bCs/>
          <w:sz w:val="24"/>
          <w:szCs w:val="24"/>
          <w:lang w:val="en-US" w:bidi="hi-IN"/>
        </w:rPr>
        <w:t>00 Hrs)</w:t>
      </w:r>
      <w:r w:rsidRPr="00BA5A68">
        <w:rPr>
          <w:rFonts w:ascii="Arial" w:hAnsi="Arial" w:cs="Arial"/>
          <w:sz w:val="24"/>
          <w:szCs w:val="24"/>
          <w:lang w:val="en-US" w:bidi="hi-IN"/>
        </w:rPr>
        <w:t>.</w:t>
      </w:r>
    </w:p>
    <w:p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/>
      </w:tblPr>
      <w:tblGrid>
        <w:gridCol w:w="4786"/>
        <w:gridCol w:w="4754"/>
      </w:tblGrid>
      <w:tr w:rsidR="004D3A66" w:rsidTr="004D3A66">
        <w:trPr>
          <w:trHeight w:val="723"/>
        </w:trPr>
        <w:tc>
          <w:tcPr>
            <w:tcW w:w="4786" w:type="dxa"/>
            <w:hideMark/>
          </w:tcPr>
          <w:p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:rsidR="004D3A66" w:rsidRPr="003F2735" w:rsidRDefault="004412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DGM</w:t>
            </w:r>
            <w:r w:rsidR="004D3A66" w:rsidRPr="003F2735">
              <w:rPr>
                <w:rFonts w:ascii="Arial" w:hAnsi="Arial" w:cs="Arial"/>
                <w:b/>
              </w:rPr>
              <w:t xml:space="preserve"> (</w:t>
            </w:r>
            <w:r w:rsidR="003F2735"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A0A"/>
    <w:rsid w:val="00092CB4"/>
    <w:rsid w:val="000A4EF2"/>
    <w:rsid w:val="001A1C68"/>
    <w:rsid w:val="00261AD9"/>
    <w:rsid w:val="0028533D"/>
    <w:rsid w:val="00295EDA"/>
    <w:rsid w:val="002A4548"/>
    <w:rsid w:val="00367D5F"/>
    <w:rsid w:val="003737FE"/>
    <w:rsid w:val="003B555D"/>
    <w:rsid w:val="003D16FD"/>
    <w:rsid w:val="003F2735"/>
    <w:rsid w:val="00441201"/>
    <w:rsid w:val="004926D7"/>
    <w:rsid w:val="004D3A66"/>
    <w:rsid w:val="004E6F74"/>
    <w:rsid w:val="00502B1C"/>
    <w:rsid w:val="005851E3"/>
    <w:rsid w:val="005B06B4"/>
    <w:rsid w:val="00641341"/>
    <w:rsid w:val="00713A1E"/>
    <w:rsid w:val="007C0365"/>
    <w:rsid w:val="008129C9"/>
    <w:rsid w:val="008309BE"/>
    <w:rsid w:val="00857121"/>
    <w:rsid w:val="0089645E"/>
    <w:rsid w:val="00945AFC"/>
    <w:rsid w:val="00961A55"/>
    <w:rsid w:val="00990B0A"/>
    <w:rsid w:val="009A5EED"/>
    <w:rsid w:val="00A72526"/>
    <w:rsid w:val="00A80608"/>
    <w:rsid w:val="00AA5FC6"/>
    <w:rsid w:val="00B55B35"/>
    <w:rsid w:val="00BA5A68"/>
    <w:rsid w:val="00BC02EE"/>
    <w:rsid w:val="00BD4DDC"/>
    <w:rsid w:val="00C07D4F"/>
    <w:rsid w:val="00CC13D3"/>
    <w:rsid w:val="00D133A6"/>
    <w:rsid w:val="00EB052C"/>
    <w:rsid w:val="00ED2A0A"/>
    <w:rsid w:val="00F73D44"/>
    <w:rsid w:val="00FA2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052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Mohit</dc:creator>
  <cp:lastModifiedBy>debabrata.goswami</cp:lastModifiedBy>
  <cp:revision>2</cp:revision>
  <cp:lastPrinted>2024-09-20T06:31:00Z</cp:lastPrinted>
  <dcterms:created xsi:type="dcterms:W3CDTF">2024-09-27T08:14:00Z</dcterms:created>
  <dcterms:modified xsi:type="dcterms:W3CDTF">2024-09-27T08:14:00Z</dcterms:modified>
</cp:coreProperties>
</file>